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48E2B" w14:textId="77777777" w:rsidR="00D05D92" w:rsidRPr="00D05D92" w:rsidRDefault="00D05D92" w:rsidP="00D05D92">
      <w:pPr>
        <w:pStyle w:val="Affiliation"/>
        <w:jc w:val="left"/>
        <w:rPr>
          <w:sz w:val="20"/>
          <w:szCs w:val="20"/>
          <w:lang w:val="el-GR"/>
        </w:rPr>
      </w:pPr>
    </w:p>
    <w:p w14:paraId="344BE3F1" w14:textId="77777777" w:rsidR="00D05D92" w:rsidRPr="00D05D92" w:rsidRDefault="00D05D92">
      <w:pPr>
        <w:pStyle w:val="Affiliation"/>
        <w:rPr>
          <w:sz w:val="20"/>
          <w:szCs w:val="20"/>
          <w:lang w:val="el-GR"/>
        </w:rPr>
      </w:pPr>
    </w:p>
    <w:p w14:paraId="29EAA91F" w14:textId="77777777" w:rsidR="00A51F6A" w:rsidRPr="00557A32" w:rsidRDefault="00A51F6A" w:rsidP="00A51F6A">
      <w:pPr>
        <w:shd w:val="clear" w:color="auto" w:fill="EAF1DD" w:themeFill="accent3" w:themeFillTint="33"/>
        <w:rPr>
          <w:rFonts w:eastAsia="Arial"/>
          <w:lang w:val="el-GR"/>
        </w:rPr>
      </w:pPr>
      <w:r w:rsidRPr="00557A32">
        <w:rPr>
          <w:rFonts w:eastAsia="Arial"/>
          <w:lang w:val="el-GR"/>
        </w:rPr>
        <w:t xml:space="preserve">Τίτλος του Άρθρου ή </w:t>
      </w:r>
      <w:r w:rsidRPr="00A51F6A">
        <w:rPr>
          <w:rFonts w:eastAsia="Arial"/>
        </w:rPr>
        <w:t>Title</w:t>
      </w:r>
      <w:r w:rsidRPr="00557A32">
        <w:rPr>
          <w:rFonts w:eastAsia="Arial"/>
          <w:lang w:val="el-GR"/>
        </w:rPr>
        <w:t xml:space="preserve"> </w:t>
      </w:r>
      <w:r w:rsidRPr="00A51F6A">
        <w:rPr>
          <w:rFonts w:eastAsia="Arial"/>
        </w:rPr>
        <w:t>of</w:t>
      </w:r>
      <w:r w:rsidRPr="00557A32">
        <w:rPr>
          <w:rFonts w:eastAsia="Arial"/>
          <w:lang w:val="el-GR"/>
        </w:rPr>
        <w:t xml:space="preserve"> </w:t>
      </w:r>
      <w:r w:rsidRPr="00A51F6A">
        <w:rPr>
          <w:rFonts w:eastAsia="Arial"/>
        </w:rPr>
        <w:t>the</w:t>
      </w:r>
      <w:r w:rsidRPr="00557A32">
        <w:rPr>
          <w:rFonts w:eastAsia="Arial"/>
          <w:lang w:val="el-GR"/>
        </w:rPr>
        <w:t xml:space="preserve"> </w:t>
      </w:r>
      <w:r w:rsidRPr="00A51F6A">
        <w:rPr>
          <w:rFonts w:eastAsia="Arial"/>
        </w:rPr>
        <w:t>paper</w:t>
      </w:r>
      <w:r w:rsidRPr="00557A32">
        <w:rPr>
          <w:rFonts w:eastAsia="Arial"/>
          <w:lang w:val="el-GR"/>
        </w:rPr>
        <w:t xml:space="preserve"> </w:t>
      </w:r>
    </w:p>
    <w:p w14:paraId="34AA56D7" w14:textId="444DA453" w:rsidR="00A51F6A" w:rsidRPr="00A51F6A" w:rsidRDefault="00A51F6A" w:rsidP="00A51F6A">
      <w:pPr>
        <w:shd w:val="clear" w:color="auto" w:fill="EAF1DD" w:themeFill="accent3" w:themeFillTint="33"/>
        <w:rPr>
          <w:b/>
          <w:bCs/>
          <w:lang w:val="el-GR"/>
        </w:rPr>
      </w:pPr>
      <w:r w:rsidRPr="00A51F6A">
        <w:rPr>
          <w:rFonts w:eastAsia="Arial"/>
          <w:b/>
          <w:bCs/>
          <w:lang w:val="el-GR"/>
        </w:rPr>
        <w:t>(</w:t>
      </w:r>
      <w:r w:rsidR="00D05D92">
        <w:rPr>
          <w:rFonts w:eastAsia="Arial"/>
          <w:b/>
          <w:bCs/>
          <w:lang w:val="el-GR"/>
        </w:rPr>
        <w:t>Μόνο στα</w:t>
      </w:r>
      <w:r w:rsidRPr="00A51F6A">
        <w:rPr>
          <w:rFonts w:eastAsia="Arial"/>
          <w:b/>
          <w:bCs/>
          <w:lang w:val="el-GR"/>
        </w:rPr>
        <w:t xml:space="preserve"> Ελληνικά ή </w:t>
      </w:r>
      <w:r w:rsidR="00D05D92">
        <w:rPr>
          <w:rFonts w:eastAsia="Arial"/>
          <w:b/>
          <w:bCs/>
          <w:lang w:val="el-GR"/>
        </w:rPr>
        <w:t xml:space="preserve">μόνο </w:t>
      </w:r>
      <w:r w:rsidRPr="00A51F6A">
        <w:rPr>
          <w:rFonts w:eastAsia="Arial"/>
          <w:b/>
          <w:bCs/>
          <w:lang w:val="el-GR"/>
        </w:rPr>
        <w:t>στα Αγγλικά αν πρόκειται για ξενόγλωσσο άρθρο)</w:t>
      </w:r>
    </w:p>
    <w:p w14:paraId="05D2538C" w14:textId="77777777" w:rsidR="00A51F6A" w:rsidRPr="00A51F6A" w:rsidRDefault="00A51F6A" w:rsidP="00A51F6A">
      <w:pPr>
        <w:jc w:val="both"/>
        <w:rPr>
          <w:lang w:val="el-GR"/>
        </w:rPr>
      </w:pPr>
    </w:p>
    <w:p w14:paraId="665A638F" w14:textId="77777777" w:rsidR="00A51F6A" w:rsidRPr="00A51F6A" w:rsidRDefault="00A51F6A">
      <w:pPr>
        <w:pStyle w:val="Affiliation"/>
        <w:rPr>
          <w:sz w:val="20"/>
          <w:szCs w:val="20"/>
          <w:lang w:val="el-GR"/>
        </w:rPr>
      </w:pPr>
    </w:p>
    <w:p w14:paraId="5069751E" w14:textId="77777777" w:rsidR="00A51F6A" w:rsidRPr="00A51F6A" w:rsidRDefault="00A51F6A" w:rsidP="00A51F6A">
      <w:pPr>
        <w:shd w:val="clear" w:color="auto" w:fill="DBE5F1" w:themeFill="accent1" w:themeFillTint="33"/>
        <w:rPr>
          <w:lang w:val="el-GR"/>
        </w:rPr>
      </w:pPr>
      <w:r w:rsidRPr="00A51F6A">
        <w:rPr>
          <w:lang w:val="el-GR"/>
        </w:rPr>
        <w:t xml:space="preserve">Ονοματεπώνυμο συγγραφέως, Φορέας, Ιδιότητα, Τίτλος, </w:t>
      </w:r>
      <w:r w:rsidRPr="00A51F6A">
        <w:t>e</w:t>
      </w:r>
      <w:r w:rsidRPr="00A51F6A">
        <w:rPr>
          <w:lang w:val="el-GR"/>
        </w:rPr>
        <w:t>-</w:t>
      </w:r>
      <w:r w:rsidRPr="00A51F6A">
        <w:t>mail</w:t>
      </w:r>
    </w:p>
    <w:p w14:paraId="4BBBD70E" w14:textId="77777777" w:rsidR="00A51F6A" w:rsidRPr="00A51F6A" w:rsidRDefault="00A51F6A" w:rsidP="00A51F6A">
      <w:pPr>
        <w:shd w:val="clear" w:color="auto" w:fill="DBE5F1" w:themeFill="accent1" w:themeFillTint="33"/>
      </w:pPr>
      <w:r w:rsidRPr="00A51F6A">
        <w:t>Full name of the author, institute, faculty, title, e-mail address</w:t>
      </w:r>
    </w:p>
    <w:p w14:paraId="1DD6926B" w14:textId="09C87D84" w:rsidR="00A51F6A" w:rsidRPr="00A51F6A" w:rsidRDefault="00A51F6A" w:rsidP="00A51F6A">
      <w:pPr>
        <w:shd w:val="clear" w:color="auto" w:fill="DBE5F1" w:themeFill="accent1" w:themeFillTint="33"/>
        <w:rPr>
          <w:b/>
          <w:bCs/>
          <w:lang w:val="el-GR"/>
        </w:rPr>
      </w:pPr>
      <w:r w:rsidRPr="00A51F6A">
        <w:rPr>
          <w:rFonts w:eastAsia="Arial"/>
          <w:b/>
          <w:bCs/>
          <w:lang w:val="el-GR"/>
        </w:rPr>
        <w:t>(</w:t>
      </w:r>
      <w:r w:rsidR="00D05D92">
        <w:rPr>
          <w:rFonts w:eastAsia="Arial"/>
          <w:b/>
          <w:bCs/>
          <w:lang w:val="el-GR"/>
        </w:rPr>
        <w:t>Μόνο στα</w:t>
      </w:r>
      <w:r w:rsidRPr="00D05D92">
        <w:rPr>
          <w:rFonts w:eastAsia="Arial"/>
          <w:b/>
          <w:bCs/>
          <w:lang w:val="el-GR"/>
        </w:rPr>
        <w:t xml:space="preserve"> Ελληνικά ή </w:t>
      </w:r>
      <w:r w:rsidR="00D05D92">
        <w:rPr>
          <w:rFonts w:eastAsia="Arial"/>
          <w:b/>
          <w:bCs/>
          <w:lang w:val="el-GR"/>
        </w:rPr>
        <w:t>μόνο στα</w:t>
      </w:r>
      <w:r w:rsidRPr="00D05D92">
        <w:rPr>
          <w:rFonts w:eastAsia="Arial"/>
          <w:b/>
          <w:bCs/>
          <w:lang w:val="el-GR"/>
        </w:rPr>
        <w:t xml:space="preserve"> Αγγλικά αν πρόκειται για ξενόγλωσσο άρθρο)</w:t>
      </w:r>
    </w:p>
    <w:p w14:paraId="3BC86767" w14:textId="77777777" w:rsidR="005D2FFC" w:rsidRPr="00A51F6A" w:rsidRDefault="005D2FFC">
      <w:pPr>
        <w:pStyle w:val="Affiliation"/>
        <w:rPr>
          <w:sz w:val="22"/>
          <w:szCs w:val="22"/>
          <w:lang w:val="el-GR"/>
        </w:rPr>
      </w:pPr>
    </w:p>
    <w:p w14:paraId="78458A0C" w14:textId="2F7B5F59" w:rsidR="005D2FFC" w:rsidRPr="00A51F6A" w:rsidRDefault="00F574E6" w:rsidP="00A51F6A">
      <w:pPr>
        <w:jc w:val="both"/>
      </w:pPr>
      <w:r w:rsidRPr="00A51F6A">
        <w:rPr>
          <w:b/>
          <w:bCs/>
        </w:rPr>
        <w:t>Abstract:</w:t>
      </w:r>
      <w:r w:rsidRPr="00A51F6A">
        <w:t xml:space="preserve"> </w:t>
      </w:r>
      <w:r w:rsidR="00530DDF" w:rsidRPr="00A51F6A">
        <w:t>A short summary in English. Abstract text area: About 100 -200 words. It should contain sufficient information to give the reader full insight into the fields negotiated by the article and include the following: objectives, plan, methodology, approach, results, conclusions and contribution of the article. The summary is not an introduction to the subject</w:t>
      </w:r>
    </w:p>
    <w:p w14:paraId="1ECDF6F5" w14:textId="77777777" w:rsidR="005D2FFC" w:rsidRPr="00A51F6A" w:rsidRDefault="00F574E6" w:rsidP="00A51F6A">
      <w:r w:rsidRPr="00A51F6A">
        <w:t>Keywords: Use 3-5 keywords separated with a comma</w:t>
      </w:r>
    </w:p>
    <w:p w14:paraId="5E87CD93" w14:textId="77777777" w:rsidR="005D2FFC" w:rsidRPr="00A51F6A" w:rsidRDefault="005D2FFC" w:rsidP="00A51F6A"/>
    <w:p w14:paraId="1AE65F90" w14:textId="77777777" w:rsidR="005D2FFC" w:rsidRDefault="00F574E6" w:rsidP="00D05D92">
      <w:pPr>
        <w:jc w:val="both"/>
        <w:rPr>
          <w:lang w:val="el-GR"/>
        </w:rPr>
      </w:pPr>
      <w:r w:rsidRPr="00557A32">
        <w:rPr>
          <w:b/>
          <w:bCs/>
          <w:lang w:val="el-GR"/>
        </w:rPr>
        <w:t>Περίληψη:</w:t>
      </w:r>
      <w:r w:rsidRPr="00557A32">
        <w:rPr>
          <w:lang w:val="el-GR"/>
        </w:rPr>
        <w:t xml:space="preserve"> Μια συνοπτική παρουσίαση (100-200 λέξεις) του άρθρου. Θα πρέπει να περιέχει επαρκείς πληροφορίες ώστε να δώσει στον αναγνώστη πλήρη εικόνα για τα πεδία που διαπραγματεύεται το άρθρο και να περιλαμβάνει τα εξής: στόχοι, σχεδιασμός, μεθοδολογία, προσέγγιση, αποτελέσματα, συμπεράσματα και συμβολή του άρθρου. Η περίληψη δεν αποτελεί εισαγωγή στο θέμα.</w:t>
      </w:r>
    </w:p>
    <w:p w14:paraId="7DA910FC" w14:textId="77777777" w:rsidR="00D05D92" w:rsidRPr="00D05D92" w:rsidRDefault="00D05D92" w:rsidP="00A51F6A">
      <w:pPr>
        <w:rPr>
          <w:lang w:val="el-GR"/>
        </w:rPr>
      </w:pPr>
    </w:p>
    <w:p w14:paraId="12ECE504" w14:textId="1EFAA064" w:rsidR="005D2FFC" w:rsidRDefault="00F574E6" w:rsidP="00A51F6A">
      <w:pPr>
        <w:rPr>
          <w:lang w:val="el-GR"/>
        </w:rPr>
      </w:pPr>
      <w:r w:rsidRPr="00557A32">
        <w:rPr>
          <w:b/>
          <w:bCs/>
          <w:lang w:val="el-GR"/>
        </w:rPr>
        <w:t>Λέξεις κλειδιά:</w:t>
      </w:r>
      <w:r w:rsidRPr="00557A32">
        <w:rPr>
          <w:lang w:val="el-GR"/>
        </w:rPr>
        <w:t xml:space="preserve"> Χρησιμοποιήστε 3 έως 5 λέξεις κλειδιά χωρισμένες με κόμμα</w:t>
      </w:r>
    </w:p>
    <w:p w14:paraId="6DF7D711" w14:textId="77777777" w:rsidR="00D05D92" w:rsidRPr="00D05D92" w:rsidRDefault="00D05D92" w:rsidP="00A51F6A">
      <w:pPr>
        <w:rPr>
          <w:lang w:val="el-GR"/>
        </w:rPr>
      </w:pPr>
    </w:p>
    <w:p w14:paraId="251A8BCB" w14:textId="1E7238D2" w:rsidR="005D2FFC" w:rsidRPr="00557A32" w:rsidRDefault="00F574E6" w:rsidP="00A51F6A">
      <w:pPr>
        <w:rPr>
          <w:b/>
          <w:bCs/>
          <w:lang w:val="el-GR"/>
        </w:rPr>
      </w:pPr>
      <w:r w:rsidRPr="00557A32">
        <w:rPr>
          <w:b/>
          <w:bCs/>
          <w:lang w:val="el-GR"/>
        </w:rPr>
        <w:t>Εισαγωγή</w:t>
      </w:r>
    </w:p>
    <w:p w14:paraId="79D489B9" w14:textId="58029744" w:rsidR="00530DDF" w:rsidRDefault="00530DDF" w:rsidP="00D05D92">
      <w:pPr>
        <w:jc w:val="both"/>
        <w:rPr>
          <w:lang w:val="el-GR"/>
        </w:rPr>
      </w:pPr>
      <w:r w:rsidRPr="00557A32">
        <w:rPr>
          <w:lang w:val="el-GR"/>
        </w:rPr>
        <w:t xml:space="preserve">Θέτει το πλαίσιο, το πρόβλημα/ερώτημα που διερευνάται. Αναφέρει τη σημασία της έρευνας. Σκοπός και στόχοι. </w:t>
      </w:r>
      <w:r w:rsidRPr="00D05D92">
        <w:rPr>
          <w:lang w:val="el-GR"/>
        </w:rPr>
        <w:t>Συνοπτικά: τι γνωρίζουμε, τι λείπει, τι διερευνά η παρούσα εργασία</w:t>
      </w:r>
      <w:r w:rsidR="00D05D92">
        <w:rPr>
          <w:lang w:val="el-GR"/>
        </w:rPr>
        <w:t>.</w:t>
      </w:r>
    </w:p>
    <w:p w14:paraId="0EB8A68B" w14:textId="77777777" w:rsidR="00D05D92" w:rsidRPr="00D05D92" w:rsidRDefault="00D05D92" w:rsidP="00A51F6A">
      <w:pPr>
        <w:rPr>
          <w:lang w:val="el-GR"/>
        </w:rPr>
      </w:pPr>
    </w:p>
    <w:p w14:paraId="0671AD36" w14:textId="77777777" w:rsidR="005D2FFC" w:rsidRPr="00557A32" w:rsidRDefault="00F574E6" w:rsidP="00A51F6A">
      <w:pPr>
        <w:rPr>
          <w:lang w:val="el-GR"/>
        </w:rPr>
      </w:pPr>
      <w:r w:rsidRPr="00557A32">
        <w:rPr>
          <w:b/>
          <w:bCs/>
          <w:lang w:val="el-GR"/>
        </w:rPr>
        <w:t>Κυρίως θέμα του άρθρου</w:t>
      </w:r>
      <w:r w:rsidRPr="00557A32">
        <w:rPr>
          <w:lang w:val="el-GR"/>
        </w:rPr>
        <w:t xml:space="preserve"> (αριθμημένα τίτλοι και υπότιτλοι)</w:t>
      </w:r>
    </w:p>
    <w:p w14:paraId="50D12772" w14:textId="77777777" w:rsidR="00530DDF" w:rsidRPr="00557A32" w:rsidRDefault="00530DDF" w:rsidP="00D05D92">
      <w:pPr>
        <w:jc w:val="both"/>
        <w:rPr>
          <w:lang w:val="el-GR"/>
        </w:rPr>
      </w:pPr>
      <w:r w:rsidRPr="00557A32">
        <w:rPr>
          <w:lang w:val="el-GR"/>
        </w:rPr>
        <w:t xml:space="preserve">Το κείμενο πρέπει να είναι γραμμένο σε γραμματοσειρά </w:t>
      </w:r>
      <w:r w:rsidRPr="00A51F6A">
        <w:t>Times</w:t>
      </w:r>
      <w:r w:rsidRPr="00557A32">
        <w:rPr>
          <w:lang w:val="el-GR"/>
        </w:rPr>
        <w:t xml:space="preserve"> </w:t>
      </w:r>
      <w:r w:rsidRPr="00A51F6A">
        <w:t>New</w:t>
      </w:r>
      <w:r w:rsidRPr="00557A32">
        <w:rPr>
          <w:lang w:val="el-GR"/>
        </w:rPr>
        <w:t xml:space="preserve"> </w:t>
      </w:r>
      <w:r w:rsidRPr="00A51F6A">
        <w:t>Roman</w:t>
      </w:r>
      <w:r w:rsidRPr="00557A32">
        <w:rPr>
          <w:lang w:val="el-GR"/>
        </w:rPr>
        <w:t xml:space="preserve"> 12, σε πλήρη στοίχιση και μονό διάστιχο. Κάθε έγγραφο θα πρέπει να έχει αριθμό σελίδων 8-16. </w:t>
      </w:r>
    </w:p>
    <w:p w14:paraId="2F67DB4C" w14:textId="77777777" w:rsidR="00D05D92" w:rsidRDefault="00D05D92" w:rsidP="00A51F6A">
      <w:pPr>
        <w:rPr>
          <w:lang w:val="el-GR"/>
        </w:rPr>
      </w:pPr>
    </w:p>
    <w:p w14:paraId="6B7F2149" w14:textId="5CD9ED0C" w:rsidR="00530DDF" w:rsidRPr="00557A32" w:rsidRDefault="00530DDF" w:rsidP="00A51F6A">
      <w:pPr>
        <w:rPr>
          <w:b/>
          <w:bCs/>
          <w:lang w:val="el-GR"/>
        </w:rPr>
      </w:pPr>
      <w:r w:rsidRPr="00557A32">
        <w:rPr>
          <w:b/>
          <w:bCs/>
          <w:lang w:val="el-GR"/>
        </w:rPr>
        <w:t>Θεωρητικό πλαίσιο/βιβλιογραφική ανασκόπηση</w:t>
      </w:r>
    </w:p>
    <w:p w14:paraId="133DA59A" w14:textId="1C3D8011" w:rsidR="00C71F05" w:rsidRDefault="00C71F05" w:rsidP="00D05D92">
      <w:pPr>
        <w:jc w:val="both"/>
        <w:rPr>
          <w:lang w:val="el-GR"/>
        </w:rPr>
      </w:pPr>
      <w:r w:rsidRPr="00557A32">
        <w:rPr>
          <w:lang w:val="el-GR"/>
        </w:rPr>
        <w:t>Παρουσίαση προηγούμενων μελετών. Κενά στη βιβλιογραφία. Θεωρίες/μοντέλα που χρησιμοποιούνται. Ερευνητικά Ερωτήματα.</w:t>
      </w:r>
    </w:p>
    <w:p w14:paraId="55A46FEA" w14:textId="77777777" w:rsidR="00D05D92" w:rsidRPr="00D05D92" w:rsidRDefault="00D05D92" w:rsidP="00D05D92">
      <w:pPr>
        <w:jc w:val="both"/>
        <w:rPr>
          <w:lang w:val="el-GR"/>
        </w:rPr>
      </w:pPr>
    </w:p>
    <w:p w14:paraId="02E32040" w14:textId="37A3561D" w:rsidR="00530DDF" w:rsidRPr="00557A32" w:rsidRDefault="00CB7812" w:rsidP="00A51F6A">
      <w:pPr>
        <w:rPr>
          <w:b/>
          <w:bCs/>
          <w:lang w:val="el-GR"/>
        </w:rPr>
      </w:pPr>
      <w:r w:rsidRPr="00557A32">
        <w:rPr>
          <w:b/>
          <w:bCs/>
          <w:lang w:val="el-GR"/>
        </w:rPr>
        <w:t>Μεθοδολογία</w:t>
      </w:r>
    </w:p>
    <w:p w14:paraId="1DAFD970" w14:textId="218A9CEF" w:rsidR="00CB7812" w:rsidRPr="00557A32" w:rsidRDefault="00CB7812" w:rsidP="00D05D92">
      <w:pPr>
        <w:jc w:val="both"/>
        <w:rPr>
          <w:lang w:val="el-GR"/>
        </w:rPr>
      </w:pPr>
      <w:r w:rsidRPr="00557A32">
        <w:rPr>
          <w:lang w:val="el-GR"/>
        </w:rPr>
        <w:t>Ερευνητική προσέγγιση (ποιοτική, ποσοτική, μικτή). Πληθυσμός – δείγμα (πώς επιλέχθηκε). Μέσα/εργαλεία συλλογής δεδομένων (π.χ. ερωτηματολόγιο, συνεντεύξεις). Τρόπος ανάλυσης δεδομένων. Ηθικά ζητήματα (ανωνυμία, συναίνεση, κ.λπ.)</w:t>
      </w:r>
    </w:p>
    <w:p w14:paraId="19EA7AE4" w14:textId="77777777" w:rsidR="00CB7812" w:rsidRPr="00557A32" w:rsidRDefault="00CB7812" w:rsidP="00A51F6A">
      <w:pPr>
        <w:rPr>
          <w:lang w:val="el-GR"/>
        </w:rPr>
      </w:pPr>
    </w:p>
    <w:p w14:paraId="4210E073" w14:textId="20664BA3" w:rsidR="00CB7812" w:rsidRPr="00557A32" w:rsidRDefault="00CB7812" w:rsidP="00A51F6A">
      <w:pPr>
        <w:rPr>
          <w:b/>
          <w:bCs/>
          <w:lang w:val="el-GR"/>
        </w:rPr>
      </w:pPr>
      <w:r w:rsidRPr="00557A32">
        <w:rPr>
          <w:b/>
          <w:bCs/>
          <w:lang w:val="el-GR"/>
        </w:rPr>
        <w:t>Αποτελέσματα</w:t>
      </w:r>
    </w:p>
    <w:p w14:paraId="22D69C5C" w14:textId="25755072" w:rsidR="00CB7812" w:rsidRPr="00443478" w:rsidRDefault="00CB7812" w:rsidP="00A51F6A">
      <w:pPr>
        <w:rPr>
          <w:lang w:val="el-GR"/>
        </w:rPr>
      </w:pPr>
      <w:r w:rsidRPr="00557A32">
        <w:rPr>
          <w:lang w:val="el-GR"/>
        </w:rPr>
        <w:t xml:space="preserve">Παρουσίαση ευρημάτων (πίνακες, αποσπάσματα, στατιστικά). </w:t>
      </w:r>
      <w:r w:rsidRPr="00443478">
        <w:rPr>
          <w:lang w:val="el-GR"/>
        </w:rPr>
        <w:t>Ανάλυση χωρίς ερμηνεία.</w:t>
      </w:r>
    </w:p>
    <w:p w14:paraId="5E58F6F0" w14:textId="1C7F79D1" w:rsidR="00530DDF" w:rsidRPr="00443478" w:rsidRDefault="00530DDF" w:rsidP="00A51F6A">
      <w:pPr>
        <w:rPr>
          <w:lang w:val="el-GR"/>
        </w:rPr>
      </w:pPr>
    </w:p>
    <w:p w14:paraId="16063E2B" w14:textId="77777777" w:rsidR="00530DDF" w:rsidRPr="00C7274D" w:rsidRDefault="00530DDF" w:rsidP="00D05D92">
      <w:pPr>
        <w:jc w:val="both"/>
        <w:rPr>
          <w:lang w:val="el-GR"/>
        </w:rPr>
      </w:pPr>
      <w:r w:rsidRPr="00C7274D">
        <w:rPr>
          <w:lang w:val="el-GR"/>
        </w:rPr>
        <w:t xml:space="preserve">Οι εικόνες, οι πίνακες και τα σχήματα θα πρέπει να είναι ενταγμένα στη ροή του κειμένου και να έχουν διαδοχική αρίθμηση όπως εμφανίζονται στο κείμενο. Όλες οι εικόνες οι πίνακες και τα σχήματα πρέπει να φέρουν τίτλους και να έχουν αναφορά  μέσα από το κείμενο. </w:t>
      </w:r>
    </w:p>
    <w:p w14:paraId="088BAE19" w14:textId="77777777" w:rsidR="00530DDF" w:rsidRPr="00557A32" w:rsidRDefault="00530DDF" w:rsidP="00D05D92">
      <w:pPr>
        <w:jc w:val="both"/>
        <w:rPr>
          <w:lang w:val="el-GR"/>
        </w:rPr>
      </w:pPr>
      <w:r w:rsidRPr="00557A32">
        <w:rPr>
          <w:lang w:val="el-GR"/>
        </w:rPr>
        <w:t>Ακολουθήστε τα παρακάτω παραδείγματα:</w:t>
      </w:r>
    </w:p>
    <w:p w14:paraId="0876E422" w14:textId="209BE687" w:rsidR="00530DDF" w:rsidRPr="00557A32" w:rsidRDefault="00530DDF" w:rsidP="00D05D92">
      <w:pPr>
        <w:jc w:val="both"/>
        <w:rPr>
          <w:lang w:val="el-GR"/>
        </w:rPr>
      </w:pPr>
      <w:r w:rsidRPr="00557A32">
        <w:rPr>
          <w:lang w:val="el-GR"/>
        </w:rPr>
        <w:lastRenderedPageBreak/>
        <w:t xml:space="preserve">Το γράφημα 1 αποτελεί ένα παράδειγμα σχημάτων/ γραφημάτων. Ο τίτλος θα πρέπει να έχει γραμματοσειρά 10-στιγμών με έντονη γραφή και να τοποθετείται κάτω από το σχήμα. </w:t>
      </w:r>
    </w:p>
    <w:p w14:paraId="4B9324A2" w14:textId="77777777" w:rsidR="00C71F05" w:rsidRPr="00557A32" w:rsidRDefault="00C71F05" w:rsidP="00A51F6A">
      <w:pPr>
        <w:rPr>
          <w:lang w:val="el-GR"/>
        </w:rPr>
      </w:pPr>
    </w:p>
    <w:p w14:paraId="541AA346" w14:textId="77777777" w:rsidR="00530DDF" w:rsidRPr="00A51F6A" w:rsidRDefault="00530DDF" w:rsidP="00A51F6A">
      <w:r w:rsidRPr="00A51F6A">
        <w:rPr>
          <w:noProof/>
        </w:rPr>
        <w:drawing>
          <wp:inline distT="0" distB="0" distL="0" distR="0" wp14:anchorId="0244AC30" wp14:editId="1F8E6603">
            <wp:extent cx="4059036" cy="2179665"/>
            <wp:effectExtent l="0" t="0" r="0" b="0"/>
            <wp:docPr id="1073741825"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CF693BE" w14:textId="77777777" w:rsidR="00530DDF" w:rsidRPr="00557A32" w:rsidRDefault="00530DDF" w:rsidP="00A51F6A">
      <w:pPr>
        <w:rPr>
          <w:lang w:val="el-GR"/>
        </w:rPr>
      </w:pPr>
      <w:r w:rsidRPr="00A51F6A">
        <w:t>Graph</w:t>
      </w:r>
      <w:r w:rsidRPr="00557A32">
        <w:rPr>
          <w:lang w:val="el-GR"/>
        </w:rPr>
        <w:t xml:space="preserve"> 1. </w:t>
      </w:r>
      <w:r w:rsidRPr="00A51F6A">
        <w:t>Title</w:t>
      </w:r>
    </w:p>
    <w:p w14:paraId="66476D22" w14:textId="77777777" w:rsidR="00D05D92" w:rsidRDefault="00D05D92" w:rsidP="00A51F6A">
      <w:pPr>
        <w:rPr>
          <w:lang w:val="el-GR"/>
        </w:rPr>
      </w:pPr>
    </w:p>
    <w:p w14:paraId="3A8E954C" w14:textId="0F7067B6" w:rsidR="00530DDF" w:rsidRDefault="00530DDF" w:rsidP="00D05D92">
      <w:pPr>
        <w:jc w:val="both"/>
        <w:rPr>
          <w:lang w:val="el-GR"/>
        </w:rPr>
      </w:pPr>
      <w:r w:rsidRPr="00D05D92">
        <w:rPr>
          <w:lang w:val="el-GR"/>
        </w:rPr>
        <w:t xml:space="preserve">Ο Πίνακας 1 αποτελεί ένα παράδειγμα για τη μορφοποίηση πινάκων. </w:t>
      </w:r>
      <w:r w:rsidRPr="00557A32">
        <w:rPr>
          <w:lang w:val="el-GR"/>
        </w:rPr>
        <w:t>Ο τίτλος κάθε πίνακα θα πρέπει να έχει γραμματοσειρά 10-στιγμών με έντονη γραφή και να τοποθετείται πάνω από το σώμα του πίνακα.</w:t>
      </w:r>
    </w:p>
    <w:p w14:paraId="79E9E7C0" w14:textId="77777777" w:rsidR="00D05D92" w:rsidRPr="00D05D92" w:rsidRDefault="00D05D92" w:rsidP="00D05D92">
      <w:pPr>
        <w:jc w:val="both"/>
        <w:rPr>
          <w:lang w:val="el-GR"/>
        </w:rPr>
      </w:pPr>
    </w:p>
    <w:p w14:paraId="0B026412" w14:textId="77777777" w:rsidR="00530DDF" w:rsidRPr="00A51F6A" w:rsidRDefault="00530DDF" w:rsidP="00A51F6A">
      <w:proofErr w:type="spellStart"/>
      <w:r w:rsidRPr="00A51F6A">
        <w:t>Πίν</w:t>
      </w:r>
      <w:proofErr w:type="spellEnd"/>
      <w:r w:rsidRPr="00A51F6A">
        <w:t>ακας 1. Title</w:t>
      </w:r>
    </w:p>
    <w:tbl>
      <w:tblPr>
        <w:tblStyle w:val="TableNormal"/>
        <w:tblW w:w="624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85"/>
        <w:gridCol w:w="1322"/>
        <w:gridCol w:w="1440"/>
      </w:tblGrid>
      <w:tr w:rsidR="00530DDF" w:rsidRPr="00A51F6A" w14:paraId="5242C842" w14:textId="77777777" w:rsidTr="00B676A0">
        <w:trPr>
          <w:trHeight w:val="310"/>
          <w:jc w:val="center"/>
        </w:trPr>
        <w:tc>
          <w:tcPr>
            <w:tcW w:w="3485" w:type="dxa"/>
            <w:tcBorders>
              <w:top w:val="single" w:sz="8" w:space="0" w:color="000000"/>
              <w:left w:val="nil"/>
              <w:bottom w:val="single" w:sz="8" w:space="0" w:color="000000"/>
              <w:right w:val="nil"/>
            </w:tcBorders>
            <w:tcMar>
              <w:top w:w="80" w:type="dxa"/>
              <w:left w:w="80" w:type="dxa"/>
              <w:bottom w:w="80" w:type="dxa"/>
              <w:right w:w="80" w:type="dxa"/>
            </w:tcMar>
            <w:vAlign w:val="center"/>
          </w:tcPr>
          <w:p w14:paraId="75C5C9BF" w14:textId="77777777" w:rsidR="00530DDF" w:rsidRPr="00A51F6A" w:rsidRDefault="00530DDF" w:rsidP="00A51F6A">
            <w:r w:rsidRPr="00A51F6A">
              <w:t>Data</w:t>
            </w:r>
          </w:p>
        </w:tc>
        <w:tc>
          <w:tcPr>
            <w:tcW w:w="1322" w:type="dxa"/>
            <w:tcBorders>
              <w:top w:val="single" w:sz="8" w:space="0" w:color="000000"/>
              <w:left w:val="nil"/>
              <w:bottom w:val="single" w:sz="8" w:space="0" w:color="000000"/>
              <w:right w:val="nil"/>
            </w:tcBorders>
            <w:tcMar>
              <w:top w:w="80" w:type="dxa"/>
              <w:left w:w="80" w:type="dxa"/>
              <w:bottom w:w="80" w:type="dxa"/>
              <w:right w:w="80" w:type="dxa"/>
            </w:tcMar>
            <w:vAlign w:val="center"/>
          </w:tcPr>
          <w:p w14:paraId="3FD9A1F8" w14:textId="77777777" w:rsidR="00530DDF" w:rsidRPr="00A51F6A" w:rsidRDefault="00530DDF" w:rsidP="00A51F6A">
            <w:r w:rsidRPr="00A51F6A">
              <w:t>Frequency</w:t>
            </w:r>
          </w:p>
        </w:tc>
        <w:tc>
          <w:tcPr>
            <w:tcW w:w="1440" w:type="dxa"/>
            <w:tcBorders>
              <w:top w:val="single" w:sz="8" w:space="0" w:color="000000"/>
              <w:left w:val="nil"/>
              <w:bottom w:val="single" w:sz="8" w:space="0" w:color="000000"/>
              <w:right w:val="nil"/>
            </w:tcBorders>
            <w:tcMar>
              <w:top w:w="80" w:type="dxa"/>
              <w:left w:w="80" w:type="dxa"/>
              <w:bottom w:w="80" w:type="dxa"/>
              <w:right w:w="80" w:type="dxa"/>
            </w:tcMar>
            <w:vAlign w:val="center"/>
          </w:tcPr>
          <w:p w14:paraId="1B276B0E" w14:textId="77777777" w:rsidR="00530DDF" w:rsidRPr="00A51F6A" w:rsidRDefault="00530DDF" w:rsidP="00A51F6A">
            <w:r w:rsidRPr="00A51F6A">
              <w:t xml:space="preserve"> %</w:t>
            </w:r>
          </w:p>
        </w:tc>
      </w:tr>
      <w:tr w:rsidR="00530DDF" w:rsidRPr="00A51F6A" w14:paraId="406B85A9" w14:textId="77777777" w:rsidTr="00B676A0">
        <w:trPr>
          <w:trHeight w:val="310"/>
          <w:jc w:val="center"/>
        </w:trPr>
        <w:tc>
          <w:tcPr>
            <w:tcW w:w="3485" w:type="dxa"/>
            <w:tcBorders>
              <w:top w:val="single" w:sz="8" w:space="0" w:color="000000"/>
              <w:left w:val="nil"/>
              <w:bottom w:val="nil"/>
              <w:right w:val="nil"/>
            </w:tcBorders>
            <w:tcMar>
              <w:top w:w="80" w:type="dxa"/>
              <w:left w:w="80" w:type="dxa"/>
              <w:bottom w:w="80" w:type="dxa"/>
              <w:right w:w="80" w:type="dxa"/>
            </w:tcMar>
            <w:vAlign w:val="center"/>
          </w:tcPr>
          <w:p w14:paraId="67097373" w14:textId="77777777" w:rsidR="00530DDF" w:rsidRPr="00A51F6A" w:rsidRDefault="00530DDF" w:rsidP="00A51F6A">
            <w:r w:rsidRPr="00A51F6A">
              <w:t>A</w:t>
            </w:r>
          </w:p>
        </w:tc>
        <w:tc>
          <w:tcPr>
            <w:tcW w:w="1322" w:type="dxa"/>
            <w:tcBorders>
              <w:top w:val="single" w:sz="8" w:space="0" w:color="000000"/>
              <w:left w:val="nil"/>
              <w:bottom w:val="nil"/>
              <w:right w:val="nil"/>
            </w:tcBorders>
            <w:tcMar>
              <w:top w:w="80" w:type="dxa"/>
              <w:left w:w="80" w:type="dxa"/>
              <w:bottom w:w="80" w:type="dxa"/>
              <w:right w:w="80" w:type="dxa"/>
            </w:tcMar>
            <w:vAlign w:val="center"/>
          </w:tcPr>
          <w:p w14:paraId="709EFD0F" w14:textId="77777777" w:rsidR="00530DDF" w:rsidRPr="00A51F6A" w:rsidRDefault="00530DDF" w:rsidP="00A51F6A">
            <w:r w:rsidRPr="00A51F6A">
              <w:t>79</w:t>
            </w:r>
          </w:p>
        </w:tc>
        <w:tc>
          <w:tcPr>
            <w:tcW w:w="1440" w:type="dxa"/>
            <w:tcBorders>
              <w:top w:val="single" w:sz="8" w:space="0" w:color="000000"/>
              <w:left w:val="nil"/>
              <w:bottom w:val="nil"/>
              <w:right w:val="nil"/>
            </w:tcBorders>
            <w:tcMar>
              <w:top w:w="80" w:type="dxa"/>
              <w:left w:w="80" w:type="dxa"/>
              <w:bottom w:w="80" w:type="dxa"/>
              <w:right w:w="80" w:type="dxa"/>
            </w:tcMar>
            <w:vAlign w:val="center"/>
          </w:tcPr>
          <w:p w14:paraId="1E5F1313" w14:textId="77777777" w:rsidR="00530DDF" w:rsidRPr="00A51F6A" w:rsidRDefault="00530DDF" w:rsidP="00A51F6A">
            <w:r w:rsidRPr="00A51F6A">
              <w:t>6.8</w:t>
            </w:r>
          </w:p>
        </w:tc>
      </w:tr>
      <w:tr w:rsidR="00530DDF" w:rsidRPr="00A51F6A" w14:paraId="7969ADCB" w14:textId="77777777" w:rsidTr="00B676A0">
        <w:trPr>
          <w:trHeight w:val="310"/>
          <w:jc w:val="center"/>
        </w:trPr>
        <w:tc>
          <w:tcPr>
            <w:tcW w:w="3485" w:type="dxa"/>
            <w:tcBorders>
              <w:top w:val="nil"/>
              <w:left w:val="nil"/>
              <w:bottom w:val="nil"/>
              <w:right w:val="nil"/>
            </w:tcBorders>
            <w:tcMar>
              <w:top w:w="80" w:type="dxa"/>
              <w:left w:w="80" w:type="dxa"/>
              <w:bottom w:w="80" w:type="dxa"/>
              <w:right w:w="80" w:type="dxa"/>
            </w:tcMar>
            <w:vAlign w:val="center"/>
          </w:tcPr>
          <w:p w14:paraId="77F3825A" w14:textId="77777777" w:rsidR="00530DDF" w:rsidRPr="00A51F6A" w:rsidRDefault="00530DDF" w:rsidP="00A51F6A">
            <w:r w:rsidRPr="00A51F6A">
              <w:t>B</w:t>
            </w:r>
          </w:p>
        </w:tc>
        <w:tc>
          <w:tcPr>
            <w:tcW w:w="1322" w:type="dxa"/>
            <w:tcBorders>
              <w:top w:val="nil"/>
              <w:left w:val="nil"/>
              <w:bottom w:val="nil"/>
              <w:right w:val="nil"/>
            </w:tcBorders>
            <w:tcMar>
              <w:top w:w="80" w:type="dxa"/>
              <w:left w:w="80" w:type="dxa"/>
              <w:bottom w:w="80" w:type="dxa"/>
              <w:right w:w="80" w:type="dxa"/>
            </w:tcMar>
            <w:vAlign w:val="center"/>
          </w:tcPr>
          <w:p w14:paraId="53DCAE5B" w14:textId="77777777" w:rsidR="00530DDF" w:rsidRPr="00A51F6A" w:rsidRDefault="00530DDF" w:rsidP="00A51F6A">
            <w:r w:rsidRPr="00A51F6A">
              <w:t>391</w:t>
            </w:r>
          </w:p>
        </w:tc>
        <w:tc>
          <w:tcPr>
            <w:tcW w:w="1440" w:type="dxa"/>
            <w:tcBorders>
              <w:top w:val="nil"/>
              <w:left w:val="nil"/>
              <w:bottom w:val="nil"/>
              <w:right w:val="nil"/>
            </w:tcBorders>
            <w:tcMar>
              <w:top w:w="80" w:type="dxa"/>
              <w:left w:w="80" w:type="dxa"/>
              <w:bottom w:w="80" w:type="dxa"/>
              <w:right w:w="80" w:type="dxa"/>
            </w:tcMar>
            <w:vAlign w:val="center"/>
          </w:tcPr>
          <w:p w14:paraId="5419B60B" w14:textId="77777777" w:rsidR="00530DDF" w:rsidRPr="00A51F6A" w:rsidRDefault="00530DDF" w:rsidP="00A51F6A">
            <w:r w:rsidRPr="00A51F6A">
              <w:t>33.6</w:t>
            </w:r>
          </w:p>
        </w:tc>
      </w:tr>
      <w:tr w:rsidR="00530DDF" w:rsidRPr="00A51F6A" w14:paraId="65E8DFE5" w14:textId="77777777" w:rsidTr="00B676A0">
        <w:trPr>
          <w:trHeight w:val="310"/>
          <w:jc w:val="center"/>
        </w:trPr>
        <w:tc>
          <w:tcPr>
            <w:tcW w:w="3485" w:type="dxa"/>
            <w:tcBorders>
              <w:top w:val="nil"/>
              <w:left w:val="nil"/>
              <w:bottom w:val="nil"/>
              <w:right w:val="nil"/>
            </w:tcBorders>
            <w:tcMar>
              <w:top w:w="80" w:type="dxa"/>
              <w:left w:w="80" w:type="dxa"/>
              <w:bottom w:w="80" w:type="dxa"/>
              <w:right w:w="80" w:type="dxa"/>
            </w:tcMar>
            <w:vAlign w:val="center"/>
          </w:tcPr>
          <w:p w14:paraId="663D30DE" w14:textId="77777777" w:rsidR="00530DDF" w:rsidRPr="00A51F6A" w:rsidRDefault="00530DDF" w:rsidP="00A51F6A">
            <w:r w:rsidRPr="00A51F6A">
              <w:t>C</w:t>
            </w:r>
          </w:p>
        </w:tc>
        <w:tc>
          <w:tcPr>
            <w:tcW w:w="1322" w:type="dxa"/>
            <w:tcBorders>
              <w:top w:val="nil"/>
              <w:left w:val="nil"/>
              <w:bottom w:val="nil"/>
              <w:right w:val="nil"/>
            </w:tcBorders>
            <w:tcMar>
              <w:top w:w="80" w:type="dxa"/>
              <w:left w:w="80" w:type="dxa"/>
              <w:bottom w:w="80" w:type="dxa"/>
              <w:right w:w="80" w:type="dxa"/>
            </w:tcMar>
            <w:vAlign w:val="center"/>
          </w:tcPr>
          <w:p w14:paraId="548892AF" w14:textId="77777777" w:rsidR="00530DDF" w:rsidRPr="00A51F6A" w:rsidRDefault="00530DDF" w:rsidP="00A51F6A">
            <w:r w:rsidRPr="00A51F6A">
              <w:t>35</w:t>
            </w:r>
          </w:p>
        </w:tc>
        <w:tc>
          <w:tcPr>
            <w:tcW w:w="1440" w:type="dxa"/>
            <w:tcBorders>
              <w:top w:val="nil"/>
              <w:left w:val="nil"/>
              <w:bottom w:val="nil"/>
              <w:right w:val="nil"/>
            </w:tcBorders>
            <w:tcMar>
              <w:top w:w="80" w:type="dxa"/>
              <w:left w:w="80" w:type="dxa"/>
              <w:bottom w:w="80" w:type="dxa"/>
              <w:right w:w="80" w:type="dxa"/>
            </w:tcMar>
            <w:vAlign w:val="center"/>
          </w:tcPr>
          <w:p w14:paraId="16701BD8" w14:textId="77777777" w:rsidR="00530DDF" w:rsidRPr="00A51F6A" w:rsidRDefault="00530DDF" w:rsidP="00A51F6A">
            <w:r w:rsidRPr="00A51F6A">
              <w:t>3.0</w:t>
            </w:r>
          </w:p>
        </w:tc>
      </w:tr>
      <w:tr w:rsidR="00530DDF" w:rsidRPr="00A51F6A" w14:paraId="70698B19" w14:textId="77777777" w:rsidTr="00B676A0">
        <w:trPr>
          <w:trHeight w:val="310"/>
          <w:jc w:val="center"/>
        </w:trPr>
        <w:tc>
          <w:tcPr>
            <w:tcW w:w="3485" w:type="dxa"/>
            <w:tcBorders>
              <w:top w:val="nil"/>
              <w:left w:val="nil"/>
              <w:bottom w:val="single" w:sz="8" w:space="0" w:color="000000"/>
              <w:right w:val="nil"/>
            </w:tcBorders>
            <w:tcMar>
              <w:top w:w="80" w:type="dxa"/>
              <w:left w:w="80" w:type="dxa"/>
              <w:bottom w:w="80" w:type="dxa"/>
              <w:right w:w="80" w:type="dxa"/>
            </w:tcMar>
            <w:vAlign w:val="center"/>
          </w:tcPr>
          <w:p w14:paraId="31E23766" w14:textId="77777777" w:rsidR="00530DDF" w:rsidRPr="00A51F6A" w:rsidRDefault="00530DDF" w:rsidP="00A51F6A">
            <w:r w:rsidRPr="00A51F6A">
              <w:t>D</w:t>
            </w:r>
          </w:p>
        </w:tc>
        <w:tc>
          <w:tcPr>
            <w:tcW w:w="1322" w:type="dxa"/>
            <w:tcBorders>
              <w:top w:val="nil"/>
              <w:left w:val="nil"/>
              <w:bottom w:val="single" w:sz="8" w:space="0" w:color="000000"/>
              <w:right w:val="nil"/>
            </w:tcBorders>
            <w:tcMar>
              <w:top w:w="80" w:type="dxa"/>
              <w:left w:w="80" w:type="dxa"/>
              <w:bottom w:w="80" w:type="dxa"/>
              <w:right w:w="80" w:type="dxa"/>
            </w:tcMar>
            <w:vAlign w:val="center"/>
          </w:tcPr>
          <w:p w14:paraId="4E740A69" w14:textId="77777777" w:rsidR="00530DDF" w:rsidRPr="00A51F6A" w:rsidRDefault="00530DDF" w:rsidP="00A51F6A">
            <w:r w:rsidRPr="00A51F6A">
              <w:t>216</w:t>
            </w:r>
          </w:p>
        </w:tc>
        <w:tc>
          <w:tcPr>
            <w:tcW w:w="1440" w:type="dxa"/>
            <w:tcBorders>
              <w:top w:val="nil"/>
              <w:left w:val="nil"/>
              <w:bottom w:val="single" w:sz="8" w:space="0" w:color="000000"/>
              <w:right w:val="nil"/>
            </w:tcBorders>
            <w:tcMar>
              <w:top w:w="80" w:type="dxa"/>
              <w:left w:w="80" w:type="dxa"/>
              <w:bottom w:w="80" w:type="dxa"/>
              <w:right w:w="80" w:type="dxa"/>
            </w:tcMar>
            <w:vAlign w:val="center"/>
          </w:tcPr>
          <w:p w14:paraId="54C04D7D" w14:textId="77777777" w:rsidR="00530DDF" w:rsidRPr="00A51F6A" w:rsidRDefault="00530DDF" w:rsidP="00A51F6A">
            <w:r w:rsidRPr="00A51F6A">
              <w:t>18.5</w:t>
            </w:r>
          </w:p>
        </w:tc>
      </w:tr>
      <w:tr w:rsidR="00530DDF" w:rsidRPr="00A51F6A" w14:paraId="3059DB74" w14:textId="77777777" w:rsidTr="00B676A0">
        <w:trPr>
          <w:trHeight w:val="310"/>
          <w:jc w:val="center"/>
        </w:trPr>
        <w:tc>
          <w:tcPr>
            <w:tcW w:w="3485" w:type="dxa"/>
            <w:tcBorders>
              <w:top w:val="single" w:sz="8" w:space="0" w:color="000000"/>
              <w:left w:val="nil"/>
              <w:bottom w:val="single" w:sz="8" w:space="0" w:color="000000"/>
              <w:right w:val="nil"/>
            </w:tcBorders>
            <w:tcMar>
              <w:top w:w="80" w:type="dxa"/>
              <w:left w:w="80" w:type="dxa"/>
              <w:bottom w:w="80" w:type="dxa"/>
              <w:right w:w="80" w:type="dxa"/>
            </w:tcMar>
            <w:vAlign w:val="center"/>
          </w:tcPr>
          <w:p w14:paraId="1C0A445B" w14:textId="77777777" w:rsidR="00530DDF" w:rsidRPr="00A51F6A" w:rsidRDefault="00530DDF" w:rsidP="00A51F6A">
            <w:r w:rsidRPr="00A51F6A">
              <w:t>Total</w:t>
            </w:r>
          </w:p>
        </w:tc>
        <w:tc>
          <w:tcPr>
            <w:tcW w:w="1322" w:type="dxa"/>
            <w:tcBorders>
              <w:top w:val="single" w:sz="8" w:space="0" w:color="000000"/>
              <w:left w:val="nil"/>
              <w:bottom w:val="single" w:sz="8" w:space="0" w:color="000000"/>
              <w:right w:val="nil"/>
            </w:tcBorders>
            <w:tcMar>
              <w:top w:w="80" w:type="dxa"/>
              <w:left w:w="80" w:type="dxa"/>
              <w:bottom w:w="80" w:type="dxa"/>
              <w:right w:w="80" w:type="dxa"/>
            </w:tcMar>
            <w:vAlign w:val="center"/>
          </w:tcPr>
          <w:p w14:paraId="50ED1DB7" w14:textId="77777777" w:rsidR="00530DDF" w:rsidRPr="00A51F6A" w:rsidRDefault="00530DDF" w:rsidP="00A51F6A">
            <w:r w:rsidRPr="00A51F6A">
              <w:t>1165</w:t>
            </w:r>
          </w:p>
        </w:tc>
        <w:tc>
          <w:tcPr>
            <w:tcW w:w="1440" w:type="dxa"/>
            <w:tcBorders>
              <w:top w:val="single" w:sz="8" w:space="0" w:color="000000"/>
              <w:left w:val="nil"/>
              <w:bottom w:val="single" w:sz="8" w:space="0" w:color="000000"/>
              <w:right w:val="nil"/>
            </w:tcBorders>
            <w:tcMar>
              <w:top w:w="80" w:type="dxa"/>
              <w:left w:w="80" w:type="dxa"/>
              <w:bottom w:w="80" w:type="dxa"/>
              <w:right w:w="80" w:type="dxa"/>
            </w:tcMar>
            <w:vAlign w:val="center"/>
          </w:tcPr>
          <w:p w14:paraId="3399DA56" w14:textId="77777777" w:rsidR="00530DDF" w:rsidRPr="00A51F6A" w:rsidRDefault="00530DDF" w:rsidP="00A51F6A">
            <w:r w:rsidRPr="00A51F6A">
              <w:t>100.0</w:t>
            </w:r>
          </w:p>
        </w:tc>
      </w:tr>
    </w:tbl>
    <w:p w14:paraId="6CB67F01" w14:textId="77777777" w:rsidR="00D05D92" w:rsidRDefault="00D05D92" w:rsidP="00A51F6A">
      <w:pPr>
        <w:rPr>
          <w:lang w:val="el-GR"/>
        </w:rPr>
      </w:pPr>
    </w:p>
    <w:p w14:paraId="26D191F9" w14:textId="1D6CA9B0" w:rsidR="00CB7812" w:rsidRPr="00D05D92" w:rsidRDefault="00CB7812" w:rsidP="00A51F6A">
      <w:pPr>
        <w:rPr>
          <w:b/>
          <w:bCs/>
        </w:rPr>
      </w:pPr>
      <w:proofErr w:type="spellStart"/>
      <w:r w:rsidRPr="00D05D92">
        <w:rPr>
          <w:b/>
          <w:bCs/>
        </w:rPr>
        <w:t>Συζήτηση</w:t>
      </w:r>
      <w:proofErr w:type="spellEnd"/>
    </w:p>
    <w:p w14:paraId="2C056E25" w14:textId="3949C0A1" w:rsidR="00CB7812" w:rsidRPr="00557A32" w:rsidRDefault="00CB7812" w:rsidP="00D05D92">
      <w:pPr>
        <w:jc w:val="both"/>
        <w:rPr>
          <w:lang w:val="el-GR"/>
        </w:rPr>
      </w:pPr>
      <w:r w:rsidRPr="00557A32">
        <w:rPr>
          <w:lang w:val="el-GR"/>
        </w:rPr>
        <w:t>Ερμηνεία των αποτελεσμάτων. Σχέση με προηγούμενη βιβλιογραφία. Ερμηνεία</w:t>
      </w:r>
      <w:r w:rsidR="00D05D92">
        <w:rPr>
          <w:lang w:val="el-GR"/>
        </w:rPr>
        <w:t xml:space="preserve"> </w:t>
      </w:r>
      <w:r w:rsidRPr="00557A32">
        <w:rPr>
          <w:lang w:val="el-GR"/>
        </w:rPr>
        <w:t>αποκλίσεων/νέων στοιχείων. Πιθανές εφαρμογές</w:t>
      </w:r>
    </w:p>
    <w:p w14:paraId="21D61F7E" w14:textId="77777777" w:rsidR="00D05D92" w:rsidRDefault="00D05D92" w:rsidP="00A51F6A">
      <w:pPr>
        <w:rPr>
          <w:lang w:val="el-GR"/>
        </w:rPr>
      </w:pPr>
    </w:p>
    <w:p w14:paraId="6F043617" w14:textId="5D6FB741" w:rsidR="00CB7812" w:rsidRPr="00557A32" w:rsidRDefault="00CB7812" w:rsidP="00A51F6A">
      <w:pPr>
        <w:rPr>
          <w:b/>
          <w:bCs/>
          <w:lang w:val="el-GR"/>
        </w:rPr>
      </w:pPr>
      <w:r w:rsidRPr="00557A32">
        <w:rPr>
          <w:b/>
          <w:bCs/>
          <w:lang w:val="el-GR"/>
        </w:rPr>
        <w:t>Συμπεράσματα</w:t>
      </w:r>
    </w:p>
    <w:p w14:paraId="7E36C7EC" w14:textId="236433C9" w:rsidR="00530DDF" w:rsidRDefault="00CB7812" w:rsidP="00A51F6A">
      <w:pPr>
        <w:rPr>
          <w:lang w:val="el-GR"/>
        </w:rPr>
      </w:pPr>
      <w:r w:rsidRPr="00557A32">
        <w:rPr>
          <w:lang w:val="el-GR"/>
        </w:rPr>
        <w:t>Συνοπτικά: τι έδειξε η έρευνα. Περιορισμοί της μελέτης. Προτάσεις για μελλοντική έρευνα ή εφαρμογή</w:t>
      </w:r>
    </w:p>
    <w:p w14:paraId="6EF0A6ED" w14:textId="77777777" w:rsidR="00D05D92" w:rsidRPr="00D05D92" w:rsidRDefault="00D05D92" w:rsidP="00A51F6A">
      <w:pPr>
        <w:rPr>
          <w:lang w:val="el-GR"/>
        </w:rPr>
      </w:pPr>
    </w:p>
    <w:p w14:paraId="176396C3" w14:textId="77777777" w:rsidR="005D2FFC" w:rsidRPr="00557A32" w:rsidRDefault="00F574E6" w:rsidP="00A51F6A">
      <w:pPr>
        <w:rPr>
          <w:b/>
          <w:bCs/>
          <w:lang w:val="el-GR"/>
        </w:rPr>
      </w:pPr>
      <w:r w:rsidRPr="00557A32">
        <w:rPr>
          <w:b/>
          <w:bCs/>
          <w:lang w:val="el-GR"/>
        </w:rPr>
        <w:t>Βιβλιογραφικές αναφορές</w:t>
      </w:r>
    </w:p>
    <w:p w14:paraId="629B8344" w14:textId="361EF502" w:rsidR="005D2FFC" w:rsidRPr="00557A32" w:rsidRDefault="00F574E6" w:rsidP="00A51F6A">
      <w:pPr>
        <w:rPr>
          <w:lang w:val="el-GR"/>
        </w:rPr>
      </w:pPr>
      <w:r w:rsidRPr="00557A32">
        <w:rPr>
          <w:lang w:val="el-GR"/>
        </w:rPr>
        <w:t>Θα πρέπει να ακολουθείτε το σύστημα βιβλιογραφικών αναφορών</w:t>
      </w:r>
      <w:r w:rsidR="00530DDF" w:rsidRPr="00557A32">
        <w:rPr>
          <w:lang w:val="el-GR"/>
        </w:rPr>
        <w:t xml:space="preserve"> </w:t>
      </w:r>
      <w:r w:rsidR="00530DDF" w:rsidRPr="00A51F6A">
        <w:t>APA</w:t>
      </w:r>
      <w:r w:rsidR="00530DDF" w:rsidRPr="00557A32">
        <w:rPr>
          <w:lang w:val="el-GR"/>
        </w:rPr>
        <w:t xml:space="preserve"> </w:t>
      </w:r>
      <w:r w:rsidR="00530DDF" w:rsidRPr="00A51F6A">
        <w:t>STYLE</w:t>
      </w:r>
      <w:r w:rsidR="00530DDF" w:rsidRPr="00557A32">
        <w:rPr>
          <w:lang w:val="el-GR"/>
        </w:rPr>
        <w:t xml:space="preserve"> 7</w:t>
      </w:r>
    </w:p>
    <w:p w14:paraId="51A9D781" w14:textId="77777777" w:rsidR="00C71F05" w:rsidRDefault="00C71F05">
      <w:pPr>
        <w:pStyle w:val="a9"/>
        <w:jc w:val="both"/>
        <w:rPr>
          <w:rFonts w:ascii="Times New Roman" w:hAnsi="Times New Roman"/>
          <w:sz w:val="24"/>
          <w:szCs w:val="24"/>
        </w:rPr>
      </w:pPr>
    </w:p>
    <w:p w14:paraId="7D9C0DF3" w14:textId="7A62B656" w:rsidR="00CB7812" w:rsidRDefault="00CB7812">
      <w:pPr>
        <w:pStyle w:val="a9"/>
        <w:jc w:val="both"/>
        <w:rPr>
          <w:rFonts w:ascii="Times New Roman" w:hAnsi="Times New Roman"/>
          <w:sz w:val="24"/>
          <w:szCs w:val="24"/>
        </w:rPr>
      </w:pPr>
      <w:r>
        <w:rPr>
          <w:rFonts w:ascii="Times New Roman" w:hAnsi="Times New Roman"/>
          <w:sz w:val="24"/>
          <w:szCs w:val="24"/>
        </w:rPr>
        <w:t>Ακολουθούν ενδεικτικά παραδείγματα</w:t>
      </w:r>
      <w:r w:rsidR="00C71F05">
        <w:rPr>
          <w:rFonts w:ascii="Times New Roman" w:hAnsi="Times New Roman"/>
          <w:sz w:val="24"/>
          <w:szCs w:val="24"/>
        </w:rPr>
        <w:t xml:space="preserve"> από αναφορά σε βιβλίο, σε επιστημονικό περιοδικό, κεφά</w:t>
      </w:r>
      <w:r w:rsidR="007A7D5B">
        <w:rPr>
          <w:rFonts w:ascii="Times New Roman" w:hAnsi="Times New Roman"/>
          <w:sz w:val="24"/>
          <w:szCs w:val="24"/>
        </w:rPr>
        <w:t>λαιο σε συλλογικό τόμο, ανακοίνωση σε πρακτικά συνεδρίου και πηγή από το διαδίκτυο</w:t>
      </w:r>
      <w:r>
        <w:rPr>
          <w:rFonts w:ascii="Times New Roman" w:hAnsi="Times New Roman"/>
          <w:sz w:val="24"/>
          <w:szCs w:val="24"/>
        </w:rPr>
        <w:t>:</w:t>
      </w:r>
    </w:p>
    <w:p w14:paraId="63BF79AD" w14:textId="77777777" w:rsidR="00C71F05" w:rsidRDefault="00C71F05">
      <w:pPr>
        <w:pStyle w:val="a9"/>
        <w:jc w:val="both"/>
        <w:rPr>
          <w:rFonts w:ascii="Times New Roman" w:hAnsi="Times New Roman"/>
          <w:sz w:val="24"/>
          <w:szCs w:val="24"/>
        </w:rPr>
      </w:pPr>
    </w:p>
    <w:p w14:paraId="71B7CC22" w14:textId="77777777" w:rsidR="00C71F05" w:rsidRPr="00C71F05" w:rsidRDefault="00C71F05" w:rsidP="00C71F05">
      <w:pPr>
        <w:pStyle w:val="a9"/>
        <w:jc w:val="both"/>
        <w:rPr>
          <w:rFonts w:ascii="Times New Roman" w:hAnsi="Times New Roman" w:cs="Times New Roman"/>
          <w:sz w:val="24"/>
          <w:szCs w:val="24"/>
          <w:lang w:val="en-US"/>
        </w:rPr>
      </w:pPr>
      <w:r w:rsidRPr="00C71F05">
        <w:rPr>
          <w:rFonts w:ascii="Times New Roman" w:hAnsi="Times New Roman" w:cs="Times New Roman"/>
          <w:sz w:val="24"/>
          <w:szCs w:val="24"/>
          <w:lang w:val="en-US"/>
        </w:rPr>
        <w:lastRenderedPageBreak/>
        <w:t xml:space="preserve">Jarvis, P. (2010). </w:t>
      </w:r>
      <w:r w:rsidRPr="00C71F05">
        <w:rPr>
          <w:rFonts w:ascii="Times New Roman" w:hAnsi="Times New Roman" w:cs="Times New Roman"/>
          <w:i/>
          <w:iCs/>
          <w:sz w:val="24"/>
          <w:szCs w:val="24"/>
          <w:lang w:val="en-US"/>
        </w:rPr>
        <w:t>Adult education and lifelong learning: Theory and practice</w:t>
      </w:r>
      <w:r w:rsidRPr="00C71F05">
        <w:rPr>
          <w:rFonts w:ascii="Times New Roman" w:hAnsi="Times New Roman" w:cs="Times New Roman"/>
          <w:sz w:val="24"/>
          <w:szCs w:val="24"/>
          <w:lang w:val="en-US"/>
        </w:rPr>
        <w:t xml:space="preserve"> (4th ed.).</w:t>
      </w:r>
      <w:r w:rsidRPr="00C71F05">
        <w:rPr>
          <w:rFonts w:ascii="Times New Roman" w:hAnsi="Times New Roman" w:cs="Times New Roman"/>
          <w:sz w:val="24"/>
          <w:szCs w:val="24"/>
          <w:lang w:val="en-US"/>
        </w:rPr>
        <w:br/>
      </w:r>
      <w:r w:rsidRPr="00C71F05">
        <w:rPr>
          <w:rFonts w:ascii="Times New Roman" w:hAnsi="Times New Roman" w:cs="Times New Roman"/>
          <w:sz w:val="24"/>
          <w:szCs w:val="24"/>
        </w:rPr>
        <w:t> </w:t>
      </w:r>
      <w:r w:rsidRPr="00C71F05">
        <w:rPr>
          <w:rFonts w:ascii="Times New Roman" w:hAnsi="Times New Roman" w:cs="Times New Roman"/>
          <w:sz w:val="24"/>
          <w:szCs w:val="24"/>
        </w:rPr>
        <w:t> </w:t>
      </w:r>
      <w:r w:rsidRPr="00C71F05">
        <w:rPr>
          <w:rFonts w:ascii="Times New Roman" w:hAnsi="Times New Roman" w:cs="Times New Roman"/>
          <w:sz w:val="24"/>
          <w:szCs w:val="24"/>
          <w:lang w:val="en-US"/>
        </w:rPr>
        <w:t>Routledge.</w:t>
      </w:r>
    </w:p>
    <w:p w14:paraId="331F2C63" w14:textId="77777777" w:rsidR="00C71F05" w:rsidRPr="00C71F05" w:rsidRDefault="00C71F05" w:rsidP="00C71F05">
      <w:pPr>
        <w:pStyle w:val="a9"/>
        <w:jc w:val="both"/>
        <w:rPr>
          <w:rFonts w:ascii="Times New Roman" w:hAnsi="Times New Roman" w:cs="Times New Roman"/>
          <w:sz w:val="24"/>
          <w:szCs w:val="24"/>
          <w:lang w:val="en-US"/>
        </w:rPr>
      </w:pPr>
      <w:r w:rsidRPr="00C71F05">
        <w:rPr>
          <w:rFonts w:ascii="Times New Roman" w:hAnsi="Times New Roman" w:cs="Times New Roman"/>
          <w:sz w:val="24"/>
          <w:szCs w:val="24"/>
          <w:lang w:val="en-US"/>
        </w:rPr>
        <w:t>Merriam, S. B., &amp; Bierema, L. L. (2013). Adult learning and development: Perspectives from</w:t>
      </w:r>
      <w:r w:rsidRPr="00C71F05">
        <w:rPr>
          <w:rFonts w:ascii="Times New Roman" w:hAnsi="Times New Roman" w:cs="Times New Roman"/>
          <w:sz w:val="24"/>
          <w:szCs w:val="24"/>
          <w:lang w:val="en-US"/>
        </w:rPr>
        <w:br/>
      </w:r>
      <w:r w:rsidRPr="00C71F05">
        <w:rPr>
          <w:rFonts w:ascii="Times New Roman" w:hAnsi="Times New Roman" w:cs="Times New Roman"/>
          <w:sz w:val="24"/>
          <w:szCs w:val="24"/>
        </w:rPr>
        <w:t> </w:t>
      </w:r>
      <w:r w:rsidRPr="00C71F05">
        <w:rPr>
          <w:rFonts w:ascii="Times New Roman" w:hAnsi="Times New Roman" w:cs="Times New Roman"/>
          <w:sz w:val="24"/>
          <w:szCs w:val="24"/>
        </w:rPr>
        <w:t> </w:t>
      </w:r>
      <w:r w:rsidRPr="00C71F05">
        <w:rPr>
          <w:rFonts w:ascii="Times New Roman" w:hAnsi="Times New Roman" w:cs="Times New Roman"/>
          <w:sz w:val="24"/>
          <w:szCs w:val="24"/>
          <w:lang w:val="en-US"/>
        </w:rPr>
        <w:t xml:space="preserve">educational neuroscience. </w:t>
      </w:r>
      <w:r w:rsidRPr="00C71F05">
        <w:rPr>
          <w:rFonts w:ascii="Times New Roman" w:hAnsi="Times New Roman" w:cs="Times New Roman"/>
          <w:i/>
          <w:iCs/>
          <w:sz w:val="24"/>
          <w:szCs w:val="24"/>
          <w:lang w:val="en-US"/>
        </w:rPr>
        <w:t>New Directions for Adult and Continuing Education</w:t>
      </w:r>
      <w:r w:rsidRPr="00C71F05">
        <w:rPr>
          <w:rFonts w:ascii="Times New Roman" w:hAnsi="Times New Roman" w:cs="Times New Roman"/>
          <w:sz w:val="24"/>
          <w:szCs w:val="24"/>
          <w:lang w:val="en-US"/>
        </w:rPr>
        <w:t>,</w:t>
      </w:r>
      <w:r w:rsidRPr="00C71F05">
        <w:rPr>
          <w:rFonts w:ascii="Times New Roman" w:hAnsi="Times New Roman" w:cs="Times New Roman"/>
          <w:sz w:val="24"/>
          <w:szCs w:val="24"/>
          <w:lang w:val="en-US"/>
        </w:rPr>
        <w:br/>
      </w:r>
      <w:r w:rsidRPr="00C71F05">
        <w:rPr>
          <w:rFonts w:ascii="Times New Roman" w:hAnsi="Times New Roman" w:cs="Times New Roman"/>
          <w:sz w:val="24"/>
          <w:szCs w:val="24"/>
        </w:rPr>
        <w:t> </w:t>
      </w:r>
      <w:r w:rsidRPr="00C71F05">
        <w:rPr>
          <w:rFonts w:ascii="Times New Roman" w:hAnsi="Times New Roman" w:cs="Times New Roman"/>
          <w:sz w:val="24"/>
          <w:szCs w:val="24"/>
        </w:rPr>
        <w:t> </w:t>
      </w:r>
      <w:r w:rsidRPr="00C71F05">
        <w:rPr>
          <w:rFonts w:ascii="Times New Roman" w:hAnsi="Times New Roman" w:cs="Times New Roman"/>
          <w:sz w:val="24"/>
          <w:szCs w:val="24"/>
          <w:lang w:val="en-US"/>
        </w:rPr>
        <w:t>2013(140), 49–57. https://doi.org/10.1002/ace.20074</w:t>
      </w:r>
    </w:p>
    <w:p w14:paraId="4DF6AB81" w14:textId="77777777" w:rsidR="00C71F05" w:rsidRPr="00C71F05" w:rsidRDefault="00C71F05" w:rsidP="00C71F05">
      <w:pPr>
        <w:pStyle w:val="a9"/>
        <w:jc w:val="both"/>
        <w:rPr>
          <w:rFonts w:ascii="Times New Roman" w:hAnsi="Times New Roman" w:cs="Times New Roman"/>
          <w:sz w:val="24"/>
          <w:szCs w:val="24"/>
          <w:lang w:val="en-US"/>
        </w:rPr>
      </w:pPr>
      <w:r w:rsidRPr="00C71F05">
        <w:rPr>
          <w:rFonts w:ascii="Times New Roman" w:hAnsi="Times New Roman" w:cs="Times New Roman"/>
          <w:sz w:val="24"/>
          <w:szCs w:val="24"/>
          <w:lang w:val="en-US"/>
        </w:rPr>
        <w:t>Brookfield, S. D. (2005). Learning to be a critical thinker: Educating adults for reflective</w:t>
      </w:r>
      <w:r w:rsidRPr="00C71F05">
        <w:rPr>
          <w:rFonts w:ascii="Times New Roman" w:hAnsi="Times New Roman" w:cs="Times New Roman"/>
          <w:sz w:val="24"/>
          <w:szCs w:val="24"/>
          <w:lang w:val="en-US"/>
        </w:rPr>
        <w:br/>
      </w:r>
      <w:r w:rsidRPr="00C71F05">
        <w:rPr>
          <w:rFonts w:ascii="Times New Roman" w:hAnsi="Times New Roman" w:cs="Times New Roman"/>
          <w:sz w:val="24"/>
          <w:szCs w:val="24"/>
        </w:rPr>
        <w:t> </w:t>
      </w:r>
      <w:r w:rsidRPr="00C71F05">
        <w:rPr>
          <w:rFonts w:ascii="Times New Roman" w:hAnsi="Times New Roman" w:cs="Times New Roman"/>
          <w:sz w:val="24"/>
          <w:szCs w:val="24"/>
        </w:rPr>
        <w:t> </w:t>
      </w:r>
      <w:r w:rsidRPr="00C71F05">
        <w:rPr>
          <w:rFonts w:ascii="Times New Roman" w:hAnsi="Times New Roman" w:cs="Times New Roman"/>
          <w:sz w:val="24"/>
          <w:szCs w:val="24"/>
          <w:lang w:val="en-US"/>
        </w:rPr>
        <w:t xml:space="preserve">practice. In L. M. English (Ed.), </w:t>
      </w:r>
      <w:r w:rsidRPr="00C71F05">
        <w:rPr>
          <w:rFonts w:ascii="Times New Roman" w:hAnsi="Times New Roman" w:cs="Times New Roman"/>
          <w:i/>
          <w:iCs/>
          <w:sz w:val="24"/>
          <w:szCs w:val="24"/>
          <w:lang w:val="en-US"/>
        </w:rPr>
        <w:t>International encyclopedia of adult education</w:t>
      </w:r>
      <w:r w:rsidRPr="00C71F05">
        <w:rPr>
          <w:rFonts w:ascii="Times New Roman" w:hAnsi="Times New Roman" w:cs="Times New Roman"/>
          <w:sz w:val="24"/>
          <w:szCs w:val="24"/>
          <w:lang w:val="en-US"/>
        </w:rPr>
        <w:br/>
      </w:r>
      <w:r w:rsidRPr="00C71F05">
        <w:rPr>
          <w:rFonts w:ascii="Times New Roman" w:hAnsi="Times New Roman" w:cs="Times New Roman"/>
          <w:sz w:val="24"/>
          <w:szCs w:val="24"/>
        </w:rPr>
        <w:t> </w:t>
      </w:r>
      <w:r w:rsidRPr="00C71F05">
        <w:rPr>
          <w:rFonts w:ascii="Times New Roman" w:hAnsi="Times New Roman" w:cs="Times New Roman"/>
          <w:sz w:val="24"/>
          <w:szCs w:val="24"/>
        </w:rPr>
        <w:t> </w:t>
      </w:r>
      <w:r w:rsidRPr="00C71F05">
        <w:rPr>
          <w:rFonts w:ascii="Times New Roman" w:hAnsi="Times New Roman" w:cs="Times New Roman"/>
          <w:sz w:val="24"/>
          <w:szCs w:val="24"/>
          <w:lang w:val="en-US"/>
        </w:rPr>
        <w:t>(pp. 102–107). Palgrave Macmillan.</w:t>
      </w:r>
    </w:p>
    <w:p w14:paraId="0B1E5007" w14:textId="77777777" w:rsidR="00C71F05" w:rsidRPr="00C71F05" w:rsidRDefault="00C71F05" w:rsidP="00C71F05">
      <w:pPr>
        <w:pStyle w:val="a9"/>
        <w:jc w:val="both"/>
        <w:rPr>
          <w:rFonts w:ascii="Times New Roman" w:hAnsi="Times New Roman" w:cs="Times New Roman"/>
          <w:sz w:val="24"/>
          <w:szCs w:val="24"/>
          <w:lang w:val="en-US"/>
        </w:rPr>
      </w:pPr>
      <w:r w:rsidRPr="00C71F05">
        <w:rPr>
          <w:rFonts w:ascii="Times New Roman" w:hAnsi="Times New Roman" w:cs="Times New Roman"/>
          <w:sz w:val="24"/>
          <w:szCs w:val="24"/>
          <w:lang w:val="en-US"/>
        </w:rPr>
        <w:t xml:space="preserve">Fragkouli, E., &amp; </w:t>
      </w:r>
      <w:proofErr w:type="spellStart"/>
      <w:r w:rsidRPr="00C71F05">
        <w:rPr>
          <w:rFonts w:ascii="Times New Roman" w:hAnsi="Times New Roman" w:cs="Times New Roman"/>
          <w:sz w:val="24"/>
          <w:szCs w:val="24"/>
          <w:lang w:val="en-US"/>
        </w:rPr>
        <w:t>Bougatzeli</w:t>
      </w:r>
      <w:proofErr w:type="spellEnd"/>
      <w:r w:rsidRPr="00C71F05">
        <w:rPr>
          <w:rFonts w:ascii="Times New Roman" w:hAnsi="Times New Roman" w:cs="Times New Roman"/>
          <w:sz w:val="24"/>
          <w:szCs w:val="24"/>
          <w:lang w:val="en-US"/>
        </w:rPr>
        <w:t>, E. (2021). Adult educators’ perceptions of online teaching</w:t>
      </w:r>
      <w:r w:rsidRPr="00C71F05">
        <w:rPr>
          <w:rFonts w:ascii="Times New Roman" w:hAnsi="Times New Roman" w:cs="Times New Roman"/>
          <w:sz w:val="24"/>
          <w:szCs w:val="24"/>
          <w:lang w:val="en-US"/>
        </w:rPr>
        <w:br/>
      </w:r>
      <w:r w:rsidRPr="00C71F05">
        <w:rPr>
          <w:rFonts w:ascii="Times New Roman" w:hAnsi="Times New Roman" w:cs="Times New Roman"/>
          <w:sz w:val="24"/>
          <w:szCs w:val="24"/>
        </w:rPr>
        <w:t> </w:t>
      </w:r>
      <w:r w:rsidRPr="00C71F05">
        <w:rPr>
          <w:rFonts w:ascii="Times New Roman" w:hAnsi="Times New Roman" w:cs="Times New Roman"/>
          <w:sz w:val="24"/>
          <w:szCs w:val="24"/>
        </w:rPr>
        <w:t> </w:t>
      </w:r>
      <w:r w:rsidRPr="00C71F05">
        <w:rPr>
          <w:rFonts w:ascii="Times New Roman" w:hAnsi="Times New Roman" w:cs="Times New Roman"/>
          <w:sz w:val="24"/>
          <w:szCs w:val="24"/>
          <w:lang w:val="en-US"/>
        </w:rPr>
        <w:t xml:space="preserve">during the COVID-19 pandemic. In </w:t>
      </w:r>
      <w:r w:rsidRPr="00C71F05">
        <w:rPr>
          <w:rFonts w:ascii="Times New Roman" w:hAnsi="Times New Roman" w:cs="Times New Roman"/>
          <w:i/>
          <w:iCs/>
          <w:sz w:val="24"/>
          <w:szCs w:val="24"/>
          <w:lang w:val="en-US"/>
        </w:rPr>
        <w:t>Proceedings of the 13th International Conference</w:t>
      </w:r>
      <w:r w:rsidRPr="00C71F05">
        <w:rPr>
          <w:rFonts w:ascii="Times New Roman" w:hAnsi="Times New Roman" w:cs="Times New Roman"/>
          <w:i/>
          <w:iCs/>
          <w:sz w:val="24"/>
          <w:szCs w:val="24"/>
          <w:lang w:val="en-US"/>
        </w:rPr>
        <w:br/>
      </w:r>
      <w:r w:rsidRPr="00C71F05">
        <w:rPr>
          <w:rFonts w:ascii="Times New Roman" w:hAnsi="Times New Roman" w:cs="Times New Roman"/>
          <w:i/>
          <w:iCs/>
          <w:sz w:val="24"/>
          <w:szCs w:val="24"/>
        </w:rPr>
        <w:t> </w:t>
      </w:r>
      <w:r w:rsidRPr="00C71F05">
        <w:rPr>
          <w:rFonts w:ascii="Times New Roman" w:hAnsi="Times New Roman" w:cs="Times New Roman"/>
          <w:i/>
          <w:iCs/>
          <w:sz w:val="24"/>
          <w:szCs w:val="24"/>
        </w:rPr>
        <w:t> </w:t>
      </w:r>
      <w:r w:rsidRPr="00C71F05">
        <w:rPr>
          <w:rFonts w:ascii="Times New Roman" w:hAnsi="Times New Roman" w:cs="Times New Roman"/>
          <w:i/>
          <w:iCs/>
          <w:sz w:val="24"/>
          <w:szCs w:val="24"/>
          <w:lang w:val="en-US"/>
        </w:rPr>
        <w:t>on Education and New Learning Technologies (EDULEARN21)</w:t>
      </w:r>
      <w:r w:rsidRPr="00C71F05">
        <w:rPr>
          <w:rFonts w:ascii="Times New Roman" w:hAnsi="Times New Roman" w:cs="Times New Roman"/>
          <w:sz w:val="24"/>
          <w:szCs w:val="24"/>
          <w:lang w:val="en-US"/>
        </w:rPr>
        <w:t xml:space="preserve"> (pp. 7839–7848).</w:t>
      </w:r>
      <w:r w:rsidRPr="00C71F05">
        <w:rPr>
          <w:rFonts w:ascii="Times New Roman" w:hAnsi="Times New Roman" w:cs="Times New Roman"/>
          <w:sz w:val="24"/>
          <w:szCs w:val="24"/>
          <w:lang w:val="en-US"/>
        </w:rPr>
        <w:br/>
      </w:r>
      <w:r w:rsidRPr="00C71F05">
        <w:rPr>
          <w:rFonts w:ascii="Times New Roman" w:hAnsi="Times New Roman" w:cs="Times New Roman"/>
          <w:sz w:val="24"/>
          <w:szCs w:val="24"/>
        </w:rPr>
        <w:t> </w:t>
      </w:r>
      <w:r w:rsidRPr="00C71F05">
        <w:rPr>
          <w:rFonts w:ascii="Times New Roman" w:hAnsi="Times New Roman" w:cs="Times New Roman"/>
          <w:sz w:val="24"/>
          <w:szCs w:val="24"/>
        </w:rPr>
        <w:t> </w:t>
      </w:r>
      <w:r w:rsidRPr="00C71F05">
        <w:rPr>
          <w:rFonts w:ascii="Times New Roman" w:hAnsi="Times New Roman" w:cs="Times New Roman"/>
          <w:sz w:val="24"/>
          <w:szCs w:val="24"/>
          <w:lang w:val="en-US"/>
        </w:rPr>
        <w:t>IATED. https://doi.org/10.21125/edulearn.2021.1561</w:t>
      </w:r>
    </w:p>
    <w:p w14:paraId="24F0E00E" w14:textId="77777777" w:rsidR="00C71F05" w:rsidRPr="00C71F05" w:rsidRDefault="00C71F05" w:rsidP="00C71F05">
      <w:pPr>
        <w:pStyle w:val="a9"/>
        <w:jc w:val="both"/>
        <w:rPr>
          <w:rFonts w:ascii="Times New Roman" w:hAnsi="Times New Roman" w:cs="Times New Roman"/>
          <w:sz w:val="24"/>
          <w:szCs w:val="24"/>
          <w:lang w:val="en-US"/>
        </w:rPr>
      </w:pPr>
      <w:r w:rsidRPr="00C71F05">
        <w:rPr>
          <w:rFonts w:ascii="Times New Roman" w:hAnsi="Times New Roman" w:cs="Times New Roman"/>
          <w:sz w:val="24"/>
          <w:szCs w:val="24"/>
          <w:lang w:val="en-US"/>
        </w:rPr>
        <w:t xml:space="preserve">Institute for Lifelong Learning. (2020). </w:t>
      </w:r>
      <w:r w:rsidRPr="00C71F05">
        <w:rPr>
          <w:rFonts w:ascii="Times New Roman" w:hAnsi="Times New Roman" w:cs="Times New Roman"/>
          <w:i/>
          <w:iCs/>
          <w:sz w:val="24"/>
          <w:szCs w:val="24"/>
          <w:lang w:val="en-US"/>
        </w:rPr>
        <w:t>Adult learning and education as a tool to contain</w:t>
      </w:r>
      <w:r w:rsidRPr="00C71F05">
        <w:rPr>
          <w:rFonts w:ascii="Times New Roman" w:hAnsi="Times New Roman" w:cs="Times New Roman"/>
          <w:i/>
          <w:iCs/>
          <w:sz w:val="24"/>
          <w:szCs w:val="24"/>
          <w:lang w:val="en-US"/>
        </w:rPr>
        <w:br/>
      </w:r>
      <w:r w:rsidRPr="00C71F05">
        <w:rPr>
          <w:rFonts w:ascii="Times New Roman" w:hAnsi="Times New Roman" w:cs="Times New Roman"/>
          <w:i/>
          <w:iCs/>
          <w:sz w:val="24"/>
          <w:szCs w:val="24"/>
        </w:rPr>
        <w:t> </w:t>
      </w:r>
      <w:r w:rsidRPr="00C71F05">
        <w:rPr>
          <w:rFonts w:ascii="Times New Roman" w:hAnsi="Times New Roman" w:cs="Times New Roman"/>
          <w:i/>
          <w:iCs/>
          <w:sz w:val="24"/>
          <w:szCs w:val="24"/>
        </w:rPr>
        <w:t> </w:t>
      </w:r>
      <w:r w:rsidRPr="00C71F05">
        <w:rPr>
          <w:rFonts w:ascii="Times New Roman" w:hAnsi="Times New Roman" w:cs="Times New Roman"/>
          <w:i/>
          <w:iCs/>
          <w:sz w:val="24"/>
          <w:szCs w:val="24"/>
          <w:lang w:val="en-US"/>
        </w:rPr>
        <w:t>pandemics: The COVID-19 experience</w:t>
      </w:r>
      <w:r w:rsidRPr="00C71F05">
        <w:rPr>
          <w:rFonts w:ascii="Times New Roman" w:hAnsi="Times New Roman" w:cs="Times New Roman"/>
          <w:sz w:val="24"/>
          <w:szCs w:val="24"/>
          <w:lang w:val="en-US"/>
        </w:rPr>
        <w:t>. UNESCO.</w:t>
      </w:r>
      <w:r w:rsidRPr="00C71F05">
        <w:rPr>
          <w:rFonts w:ascii="Times New Roman" w:hAnsi="Times New Roman" w:cs="Times New Roman"/>
          <w:sz w:val="24"/>
          <w:szCs w:val="24"/>
          <w:lang w:val="en-US"/>
        </w:rPr>
        <w:br/>
      </w:r>
      <w:r w:rsidRPr="00C71F05">
        <w:rPr>
          <w:rFonts w:ascii="Times New Roman" w:hAnsi="Times New Roman" w:cs="Times New Roman"/>
          <w:sz w:val="24"/>
          <w:szCs w:val="24"/>
        </w:rPr>
        <w:t> </w:t>
      </w:r>
      <w:r w:rsidRPr="00C71F05">
        <w:rPr>
          <w:rFonts w:ascii="Times New Roman" w:hAnsi="Times New Roman" w:cs="Times New Roman"/>
          <w:sz w:val="24"/>
          <w:szCs w:val="24"/>
        </w:rPr>
        <w:t> </w:t>
      </w:r>
      <w:hyperlink r:id="rId9" w:tgtFrame="_new" w:history="1">
        <w:r w:rsidRPr="00C71F05">
          <w:rPr>
            <w:rStyle w:val="-"/>
            <w:rFonts w:ascii="Times New Roman" w:hAnsi="Times New Roman" w:cs="Times New Roman"/>
            <w:sz w:val="24"/>
            <w:szCs w:val="24"/>
            <w:lang w:val="en-US"/>
          </w:rPr>
          <w:t>https://uil.unesco.org/adult-learning-and-education-as-tool-contain-pandemics</w:t>
        </w:r>
      </w:hyperlink>
    </w:p>
    <w:p w14:paraId="30574913" w14:textId="77777777" w:rsidR="00C71F05" w:rsidRPr="00C71F05" w:rsidRDefault="00C71F05">
      <w:pPr>
        <w:pStyle w:val="a9"/>
        <w:jc w:val="both"/>
        <w:rPr>
          <w:rFonts w:ascii="Times New Roman" w:hAnsi="Times New Roman"/>
          <w:sz w:val="24"/>
          <w:szCs w:val="24"/>
          <w:lang w:val="en-US"/>
        </w:rPr>
      </w:pPr>
    </w:p>
    <w:p w14:paraId="4E5F0632" w14:textId="77777777" w:rsidR="005D2FFC" w:rsidRPr="00A51F6A" w:rsidRDefault="00F574E6">
      <w:pPr>
        <w:pStyle w:val="a9"/>
        <w:rPr>
          <w:lang w:val="en-US"/>
        </w:rPr>
      </w:pPr>
      <w:r w:rsidRPr="00A51F6A">
        <w:rPr>
          <w:lang w:val="en-US"/>
        </w:rPr>
        <w:t xml:space="preserve"> </w:t>
      </w:r>
    </w:p>
    <w:sectPr w:rsidR="005D2FFC" w:rsidRPr="00A51F6A" w:rsidSect="005D2FFC">
      <w:headerReference w:type="default" r:id="rId10"/>
      <w:footerReference w:type="default" r:id="rId11"/>
      <w:pgSz w:w="11900" w:h="16840"/>
      <w:pgMar w:top="1701" w:right="1418" w:bottom="1418" w:left="1418" w:header="851" w:footer="14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BDBD5" w14:textId="77777777" w:rsidR="006C5FDD" w:rsidRDefault="006C5FDD" w:rsidP="005D2FFC">
      <w:r>
        <w:separator/>
      </w:r>
    </w:p>
  </w:endnote>
  <w:endnote w:type="continuationSeparator" w:id="0">
    <w:p w14:paraId="4221535D" w14:textId="77777777" w:rsidR="006C5FDD" w:rsidRDefault="006C5FDD" w:rsidP="005D2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A1"/>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BFC67" w14:textId="77777777" w:rsidR="005D2FFC" w:rsidRDefault="005D2FF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8C3C2" w14:textId="77777777" w:rsidR="006C5FDD" w:rsidRDefault="006C5FDD" w:rsidP="005D2FFC">
      <w:r>
        <w:separator/>
      </w:r>
    </w:p>
  </w:footnote>
  <w:footnote w:type="continuationSeparator" w:id="0">
    <w:p w14:paraId="1F529747" w14:textId="77777777" w:rsidR="006C5FDD" w:rsidRDefault="006C5FDD" w:rsidP="005D2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C9811" w14:textId="77777777" w:rsidR="007A7D5B" w:rsidRPr="007A7D5B" w:rsidRDefault="007A7D5B" w:rsidP="007A7D5B">
    <w:pPr>
      <w:pStyle w:val="a3"/>
      <w:jc w:val="center"/>
      <w:rPr>
        <w:rStyle w:val="a4"/>
        <w:rFonts w:ascii="Times New Roman" w:eastAsia="Times New Roman" w:hAnsi="Times New Roman" w:cs="Times New Roman"/>
        <w:lang w:val="en-US"/>
      </w:rPr>
    </w:pPr>
    <w:r w:rsidRPr="007A7D5B">
      <w:rPr>
        <w:rStyle w:val="a4"/>
        <w:rFonts w:ascii="Times New Roman" w:hAnsi="Times New Roman"/>
        <w:lang w:val="en-US"/>
      </w:rPr>
      <w:t xml:space="preserve">Scientific </w:t>
    </w:r>
    <w:proofErr w:type="gramStart"/>
    <w:r w:rsidRPr="007A7D5B">
      <w:rPr>
        <w:rStyle w:val="a4"/>
        <w:rFonts w:ascii="Times New Roman" w:hAnsi="Times New Roman"/>
        <w:lang w:val="en-US"/>
      </w:rPr>
      <w:t xml:space="preserve">Educational </w:t>
    </w:r>
    <w:r>
      <w:rPr>
        <w:rStyle w:val="a4"/>
        <w:rFonts w:ascii="Times New Roman" w:hAnsi="Times New Roman"/>
        <w:lang w:val="en-US"/>
      </w:rPr>
      <w:t xml:space="preserve"> </w:t>
    </w:r>
    <w:r w:rsidRPr="007A7D5B">
      <w:rPr>
        <w:rStyle w:val="a4"/>
        <w:rFonts w:ascii="Times New Roman" w:hAnsi="Times New Roman"/>
        <w:lang w:val="en-US"/>
      </w:rPr>
      <w:t>Journal</w:t>
    </w:r>
    <w:proofErr w:type="gramEnd"/>
    <w:r>
      <w:rPr>
        <w:rStyle w:val="a4"/>
        <w:rFonts w:ascii="Times New Roman" w:hAnsi="Times New Roman"/>
        <w:lang w:val="en-US"/>
      </w:rPr>
      <w:t xml:space="preserve"> "</w:t>
    </w:r>
    <w:proofErr w:type="spellStart"/>
    <w:r>
      <w:rPr>
        <w:rStyle w:val="a4"/>
        <w:rFonts w:ascii="Times New Roman" w:hAnsi="Times New Roman"/>
        <w:lang w:val="en-US"/>
      </w:rPr>
      <w:t>educ@tional</w:t>
    </w:r>
    <w:proofErr w:type="spellEnd"/>
    <w:r>
      <w:rPr>
        <w:rStyle w:val="a4"/>
        <w:rFonts w:ascii="Times New Roman" w:hAnsi="Times New Roman"/>
        <w:lang w:val="en-US"/>
      </w:rPr>
      <w:t xml:space="preserve"> circle"</w:t>
    </w:r>
  </w:p>
  <w:p w14:paraId="74E27480" w14:textId="77777777" w:rsidR="007A7D5B" w:rsidRPr="007A7D5B" w:rsidRDefault="007A7D5B" w:rsidP="007A7D5B">
    <w:pPr>
      <w:pStyle w:val="a3"/>
      <w:jc w:val="center"/>
      <w:rPr>
        <w:lang w:val="en-US"/>
      </w:rPr>
    </w:pPr>
    <w:r>
      <w:rPr>
        <w:rStyle w:val="a4"/>
        <w:rFonts w:ascii="Times New Roman" w:hAnsi="Times New Roman"/>
        <w:lang w:val="en-US"/>
      </w:rPr>
      <w:t>Volume ….</w:t>
    </w:r>
    <w:r w:rsidRPr="007A7D5B">
      <w:rPr>
        <w:lang w:val="en-US"/>
      </w:rPr>
      <w:t xml:space="preserve">, </w:t>
    </w:r>
    <w:r>
      <w:rPr>
        <w:lang w:val="en-US"/>
      </w:rPr>
      <w:t xml:space="preserve">Issue </w:t>
    </w:r>
    <w:proofErr w:type="gramStart"/>
    <w:r>
      <w:rPr>
        <w:lang w:val="en-US"/>
      </w:rPr>
      <w:t>…..</w:t>
    </w:r>
    <w:proofErr w:type="gramEnd"/>
    <w:r w:rsidRPr="007A7D5B">
      <w:rPr>
        <w:lang w:val="en-US"/>
      </w:rPr>
      <w:t xml:space="preserve">, 201… </w:t>
    </w:r>
    <w:proofErr w:type="spellStart"/>
    <w:r>
      <w:rPr>
        <w:rStyle w:val="a4"/>
        <w:lang w:val="en-US"/>
      </w:rPr>
      <w:t>educ@tional</w:t>
    </w:r>
    <w:proofErr w:type="spellEnd"/>
    <w:r>
      <w:rPr>
        <w:rStyle w:val="a4"/>
        <w:lang w:val="en-US"/>
      </w:rPr>
      <w:t xml:space="preserve"> </w:t>
    </w:r>
    <w:proofErr w:type="gramStart"/>
    <w:r>
      <w:rPr>
        <w:rStyle w:val="a4"/>
        <w:lang w:val="en-US"/>
      </w:rPr>
      <w:t xml:space="preserve">circle </w:t>
    </w:r>
    <w:r w:rsidRPr="007A7D5B">
      <w:rPr>
        <w:lang w:val="en-US"/>
      </w:rPr>
      <w:t xml:space="preserve"> </w:t>
    </w:r>
    <w:r>
      <w:rPr>
        <w:rStyle w:val="a4"/>
        <w:lang w:val="en-US"/>
      </w:rPr>
      <w:t>ISSN</w:t>
    </w:r>
    <w:proofErr w:type="gramEnd"/>
    <w:r w:rsidRPr="007A7D5B">
      <w:rPr>
        <w:lang w:val="en-US"/>
      </w:rPr>
      <w:t>: 2241-4576</w:t>
    </w:r>
  </w:p>
  <w:p w14:paraId="0F87D7CB" w14:textId="283B5019" w:rsidR="005D2FFC" w:rsidRPr="007A7D5B" w:rsidRDefault="005D2FFC" w:rsidP="007A7D5B">
    <w:pPr>
      <w:pStyle w:val="a3"/>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E2D15"/>
    <w:multiLevelType w:val="hybridMultilevel"/>
    <w:tmpl w:val="B6FED26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853955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FFC"/>
    <w:rsid w:val="00052311"/>
    <w:rsid w:val="00112E10"/>
    <w:rsid w:val="001B747F"/>
    <w:rsid w:val="00346FE6"/>
    <w:rsid w:val="00356B95"/>
    <w:rsid w:val="00402CDD"/>
    <w:rsid w:val="00443478"/>
    <w:rsid w:val="004A0A4D"/>
    <w:rsid w:val="00530DDF"/>
    <w:rsid w:val="00557A32"/>
    <w:rsid w:val="005D2FFC"/>
    <w:rsid w:val="006622CD"/>
    <w:rsid w:val="006C5FDD"/>
    <w:rsid w:val="0072502B"/>
    <w:rsid w:val="0075775C"/>
    <w:rsid w:val="007A7D5B"/>
    <w:rsid w:val="008C2D81"/>
    <w:rsid w:val="008F7DA8"/>
    <w:rsid w:val="00965E41"/>
    <w:rsid w:val="00A26E71"/>
    <w:rsid w:val="00A51F6A"/>
    <w:rsid w:val="00AA1F19"/>
    <w:rsid w:val="00B3023D"/>
    <w:rsid w:val="00C71F05"/>
    <w:rsid w:val="00C7274D"/>
    <w:rsid w:val="00CB7812"/>
    <w:rsid w:val="00D05D92"/>
    <w:rsid w:val="00D11DCE"/>
    <w:rsid w:val="00F50CF4"/>
    <w:rsid w:val="00F574E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8297C"/>
  <w15:docId w15:val="{860E2BE7-3AF7-4417-B036-321D348E2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l-GR" w:eastAsia="el-G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5D2FFC"/>
    <w:rPr>
      <w:rFonts w:eastAsia="Times New Roman"/>
      <w:color w:val="000000"/>
      <w:sz w:val="24"/>
      <w:szCs w:val="24"/>
      <w:u w:color="000000"/>
      <w:lang w:val="en-US"/>
    </w:rPr>
  </w:style>
  <w:style w:type="paragraph" w:styleId="1">
    <w:name w:val="heading 1"/>
    <w:basedOn w:val="a"/>
    <w:next w:val="a"/>
    <w:link w:val="1Char"/>
    <w:uiPriority w:val="9"/>
    <w:qFormat/>
    <w:rsid w:val="00D05D9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semiHidden/>
    <w:unhideWhenUsed/>
    <w:qFormat/>
    <w:rsid w:val="00A51F6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next w:val="a"/>
    <w:link w:val="3Char"/>
    <w:rsid w:val="005D2FFC"/>
    <w:pPr>
      <w:keepNext/>
      <w:spacing w:before="240" w:after="60"/>
      <w:outlineLvl w:val="2"/>
    </w:pPr>
    <w:rPr>
      <w:rFonts w:ascii="Arial" w:eastAsia="Arial" w:hAnsi="Arial" w:cs="Arial"/>
      <w:b/>
      <w:bCs/>
      <w:color w:val="000000"/>
      <w:sz w:val="26"/>
      <w:szCs w:val="26"/>
      <w:u w:color="00000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5D2FFC"/>
    <w:rPr>
      <w:u w:val="single"/>
    </w:rPr>
  </w:style>
  <w:style w:type="table" w:customStyle="1" w:styleId="TableNormal">
    <w:name w:val="Table Normal"/>
    <w:rsid w:val="005D2FFC"/>
    <w:tblPr>
      <w:tblInd w:w="0" w:type="dxa"/>
      <w:tblCellMar>
        <w:top w:w="0" w:type="dxa"/>
        <w:left w:w="0" w:type="dxa"/>
        <w:bottom w:w="0" w:type="dxa"/>
        <w:right w:w="0" w:type="dxa"/>
      </w:tblCellMar>
    </w:tblPr>
  </w:style>
  <w:style w:type="paragraph" w:styleId="a3">
    <w:name w:val="header"/>
    <w:rsid w:val="005D2FFC"/>
    <w:pPr>
      <w:tabs>
        <w:tab w:val="center" w:pos="4153"/>
        <w:tab w:val="right" w:pos="8306"/>
      </w:tabs>
    </w:pPr>
    <w:rPr>
      <w:rFonts w:ascii="Calibri" w:eastAsia="Calibri" w:hAnsi="Calibri" w:cs="Calibri"/>
      <w:color w:val="000000"/>
      <w:sz w:val="22"/>
      <w:szCs w:val="22"/>
      <w:u w:color="000000"/>
    </w:rPr>
  </w:style>
  <w:style w:type="character" w:customStyle="1" w:styleId="a4">
    <w:name w:val="Κανένα"/>
    <w:rsid w:val="005D2FFC"/>
  </w:style>
  <w:style w:type="paragraph" w:styleId="a5">
    <w:name w:val="footer"/>
    <w:rsid w:val="005D2FFC"/>
    <w:pPr>
      <w:tabs>
        <w:tab w:val="center" w:pos="4153"/>
        <w:tab w:val="right" w:pos="8306"/>
      </w:tabs>
    </w:pPr>
    <w:rPr>
      <w:rFonts w:eastAsia="Times New Roman"/>
      <w:color w:val="000000"/>
      <w:sz w:val="24"/>
      <w:szCs w:val="24"/>
      <w:u w:color="000000"/>
      <w:lang w:val="en-US"/>
    </w:rPr>
  </w:style>
  <w:style w:type="paragraph" w:customStyle="1" w:styleId="a6">
    <w:name w:val="Τίτλος του άρθρου"/>
    <w:rsid w:val="005D2FFC"/>
    <w:pPr>
      <w:keepNext/>
      <w:jc w:val="center"/>
      <w:outlineLvl w:val="0"/>
    </w:pPr>
    <w:rPr>
      <w:rFonts w:eastAsia="Times New Roman"/>
      <w:b/>
      <w:bCs/>
      <w:color w:val="000000"/>
      <w:kern w:val="32"/>
      <w:sz w:val="24"/>
      <w:szCs w:val="24"/>
      <w:u w:color="000000"/>
      <w:lang w:val="en-US"/>
    </w:rPr>
  </w:style>
  <w:style w:type="paragraph" w:customStyle="1" w:styleId="a7">
    <w:name w:val="Προεπιλογή"/>
    <w:rsid w:val="005D2FFC"/>
    <w:pPr>
      <w:widowControl w:val="0"/>
      <w:suppressAutoHyphens/>
      <w:spacing w:after="200" w:line="276" w:lineRule="auto"/>
    </w:pPr>
    <w:rPr>
      <w:rFonts w:cs="Arial Unicode MS"/>
      <w:color w:val="000000"/>
      <w:sz w:val="24"/>
      <w:szCs w:val="24"/>
      <w:u w:color="000000"/>
    </w:rPr>
  </w:style>
  <w:style w:type="paragraph" w:customStyle="1" w:styleId="ecxmsonormal">
    <w:name w:val="ecxmsonormal"/>
    <w:rsid w:val="005D2FFC"/>
    <w:pPr>
      <w:suppressAutoHyphens/>
      <w:spacing w:before="100" w:after="100" w:line="276" w:lineRule="auto"/>
    </w:pPr>
    <w:rPr>
      <w:rFonts w:cs="Arial Unicode MS"/>
      <w:color w:val="000000"/>
      <w:sz w:val="24"/>
      <w:szCs w:val="24"/>
      <w:u w:color="000000"/>
    </w:rPr>
  </w:style>
  <w:style w:type="paragraph" w:customStyle="1" w:styleId="Affiliation">
    <w:name w:val="Affiliation"/>
    <w:rsid w:val="005D2FFC"/>
    <w:pPr>
      <w:jc w:val="center"/>
    </w:pPr>
    <w:rPr>
      <w:rFonts w:eastAsia="Times New Roman"/>
      <w:i/>
      <w:iCs/>
      <w:color w:val="000000"/>
      <w:sz w:val="18"/>
      <w:szCs w:val="18"/>
      <w:u w:color="000000"/>
      <w:lang w:val="en-US"/>
    </w:rPr>
  </w:style>
  <w:style w:type="paragraph" w:customStyle="1" w:styleId="61">
    <w:name w:val="Βασικό  Πλήρης Μετά:  6 στ. Διαστ 1"/>
    <w:rsid w:val="005D2FFC"/>
    <w:pPr>
      <w:spacing w:after="120" w:line="276" w:lineRule="auto"/>
      <w:jc w:val="both"/>
    </w:pPr>
    <w:rPr>
      <w:rFonts w:cs="Arial Unicode MS"/>
      <w:color w:val="000000"/>
      <w:sz w:val="24"/>
      <w:szCs w:val="24"/>
      <w:u w:color="000000"/>
    </w:rPr>
  </w:style>
  <w:style w:type="paragraph" w:customStyle="1" w:styleId="a8">
    <w:name w:val="Κείμενο Άρθρου"/>
    <w:rsid w:val="005D2FFC"/>
    <w:pPr>
      <w:spacing w:after="120" w:line="276" w:lineRule="auto"/>
      <w:jc w:val="both"/>
    </w:pPr>
    <w:rPr>
      <w:rFonts w:cs="Arial Unicode MS"/>
      <w:color w:val="000000"/>
      <w:sz w:val="24"/>
      <w:szCs w:val="24"/>
      <w:u w:color="000000"/>
    </w:rPr>
  </w:style>
  <w:style w:type="paragraph" w:customStyle="1" w:styleId="10">
    <w:name w:val="Επικεφ 1"/>
    <w:rsid w:val="005D2FFC"/>
    <w:pPr>
      <w:keepNext/>
      <w:spacing w:before="360" w:after="360"/>
      <w:ind w:left="397" w:hanging="397"/>
      <w:jc w:val="both"/>
    </w:pPr>
    <w:rPr>
      <w:rFonts w:cs="Arial Unicode MS"/>
      <w:b/>
      <w:bCs/>
      <w:color w:val="000000"/>
      <w:sz w:val="26"/>
      <w:szCs w:val="26"/>
      <w:u w:color="000000"/>
    </w:rPr>
  </w:style>
  <w:style w:type="paragraph" w:customStyle="1" w:styleId="a9">
    <w:name w:val="Κύριο τμήμα"/>
    <w:rsid w:val="005D2FFC"/>
    <w:rPr>
      <w:rFonts w:ascii="Helvetica" w:hAnsi="Helvetica" w:cs="Arial Unicode MS"/>
      <w:color w:val="000000"/>
      <w:sz w:val="22"/>
      <w:szCs w:val="22"/>
    </w:rPr>
  </w:style>
  <w:style w:type="paragraph" w:customStyle="1" w:styleId="-0">
    <w:name w:val="Σχήμα-Εικόνα"/>
    <w:next w:val="61"/>
    <w:rsid w:val="005D2FFC"/>
    <w:pPr>
      <w:keepNext/>
      <w:spacing w:before="120"/>
      <w:jc w:val="center"/>
    </w:pPr>
    <w:rPr>
      <w:rFonts w:eastAsia="Times New Roman"/>
      <w:b/>
      <w:bCs/>
      <w:color w:val="000000"/>
      <w:u w:color="000000"/>
    </w:rPr>
  </w:style>
  <w:style w:type="paragraph" w:customStyle="1" w:styleId="-1">
    <w:name w:val="Λεζάντα Σχήματος-Εικόνας"/>
    <w:rsid w:val="005D2FFC"/>
    <w:pPr>
      <w:spacing w:before="120" w:after="360"/>
      <w:jc w:val="center"/>
    </w:pPr>
    <w:rPr>
      <w:rFonts w:cs="Arial Unicode MS"/>
      <w:b/>
      <w:bCs/>
      <w:color w:val="000000"/>
      <w:u w:color="000000"/>
    </w:rPr>
  </w:style>
  <w:style w:type="paragraph" w:customStyle="1" w:styleId="aa">
    <w:name w:val="Λεζάντα Πίνακα"/>
    <w:next w:val="61"/>
    <w:rsid w:val="005D2FFC"/>
    <w:pPr>
      <w:keepNext/>
      <w:spacing w:before="360" w:after="200" w:line="276" w:lineRule="auto"/>
      <w:jc w:val="center"/>
    </w:pPr>
    <w:rPr>
      <w:rFonts w:cs="Arial Unicode MS"/>
      <w:b/>
      <w:bCs/>
      <w:color w:val="000000"/>
      <w:u w:color="000000"/>
    </w:rPr>
  </w:style>
  <w:style w:type="paragraph" w:styleId="ab">
    <w:name w:val="Balloon Text"/>
    <w:basedOn w:val="a"/>
    <w:link w:val="Char"/>
    <w:uiPriority w:val="99"/>
    <w:semiHidden/>
    <w:unhideWhenUsed/>
    <w:rsid w:val="00346FE6"/>
    <w:rPr>
      <w:rFonts w:ascii="Tahoma" w:hAnsi="Tahoma" w:cs="Tahoma"/>
      <w:sz w:val="16"/>
      <w:szCs w:val="16"/>
    </w:rPr>
  </w:style>
  <w:style w:type="character" w:customStyle="1" w:styleId="Char">
    <w:name w:val="Κείμενο πλαισίου Char"/>
    <w:basedOn w:val="a0"/>
    <w:link w:val="ab"/>
    <w:uiPriority w:val="99"/>
    <w:semiHidden/>
    <w:rsid w:val="00346FE6"/>
    <w:rPr>
      <w:rFonts w:ascii="Tahoma" w:eastAsia="Times New Roman" w:hAnsi="Tahoma" w:cs="Tahoma"/>
      <w:color w:val="000000"/>
      <w:sz w:val="16"/>
      <w:szCs w:val="16"/>
      <w:u w:color="000000"/>
      <w:lang w:val="en-US"/>
    </w:rPr>
  </w:style>
  <w:style w:type="character" w:styleId="-2">
    <w:name w:val="FollowedHyperlink"/>
    <w:basedOn w:val="a0"/>
    <w:uiPriority w:val="99"/>
    <w:semiHidden/>
    <w:unhideWhenUsed/>
    <w:rsid w:val="00346FE6"/>
    <w:rPr>
      <w:color w:val="FF00FF" w:themeColor="followedHyperlink"/>
      <w:u w:val="single"/>
    </w:rPr>
  </w:style>
  <w:style w:type="character" w:styleId="ac">
    <w:name w:val="Unresolved Mention"/>
    <w:basedOn w:val="a0"/>
    <w:uiPriority w:val="99"/>
    <w:semiHidden/>
    <w:unhideWhenUsed/>
    <w:rsid w:val="00CB7812"/>
    <w:rPr>
      <w:color w:val="605E5C"/>
      <w:shd w:val="clear" w:color="auto" w:fill="E1DFDD"/>
    </w:rPr>
  </w:style>
  <w:style w:type="character" w:customStyle="1" w:styleId="2Char">
    <w:name w:val="Επικεφαλίδα 2 Char"/>
    <w:basedOn w:val="a0"/>
    <w:link w:val="2"/>
    <w:uiPriority w:val="9"/>
    <w:rsid w:val="00A51F6A"/>
    <w:rPr>
      <w:rFonts w:asciiTheme="majorHAnsi" w:eastAsiaTheme="majorEastAsia" w:hAnsiTheme="majorHAnsi" w:cstheme="majorBidi"/>
      <w:color w:val="365F91" w:themeColor="accent1" w:themeShade="BF"/>
      <w:sz w:val="26"/>
      <w:szCs w:val="26"/>
      <w:u w:color="000000"/>
      <w:lang w:val="en-US"/>
    </w:rPr>
  </w:style>
  <w:style w:type="character" w:customStyle="1" w:styleId="3Char">
    <w:name w:val="Επικεφαλίδα 3 Char"/>
    <w:basedOn w:val="a0"/>
    <w:link w:val="3"/>
    <w:rsid w:val="00A51F6A"/>
    <w:rPr>
      <w:rFonts w:ascii="Arial" w:eastAsia="Arial" w:hAnsi="Arial" w:cs="Arial"/>
      <w:b/>
      <w:bCs/>
      <w:color w:val="000000"/>
      <w:sz w:val="26"/>
      <w:szCs w:val="26"/>
      <w:u w:color="000000"/>
      <w:lang w:val="en-US"/>
    </w:rPr>
  </w:style>
  <w:style w:type="character" w:customStyle="1" w:styleId="1Char">
    <w:name w:val="Επικεφαλίδα 1 Char"/>
    <w:basedOn w:val="a0"/>
    <w:link w:val="1"/>
    <w:uiPriority w:val="9"/>
    <w:rsid w:val="00D05D92"/>
    <w:rPr>
      <w:rFonts w:asciiTheme="majorHAnsi" w:eastAsiaTheme="majorEastAsia" w:hAnsiTheme="majorHAnsi" w:cstheme="majorBidi"/>
      <w:color w:val="365F91" w:themeColor="accent1" w:themeShade="BF"/>
      <w:sz w:val="32"/>
      <w:szCs w:val="32"/>
      <w:u w:color="000000"/>
      <w:lang w:val="en-US"/>
    </w:rPr>
  </w:style>
  <w:style w:type="paragraph" w:styleId="ad">
    <w:name w:val="TOC Heading"/>
    <w:basedOn w:val="1"/>
    <w:next w:val="a"/>
    <w:uiPriority w:val="39"/>
    <w:unhideWhenUsed/>
    <w:qFormat/>
    <w:rsid w:val="00D05D92"/>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dr w:val="none" w:sz="0" w:space="0" w:color="auto"/>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251145">
      <w:bodyDiv w:val="1"/>
      <w:marLeft w:val="0"/>
      <w:marRight w:val="0"/>
      <w:marTop w:val="0"/>
      <w:marBottom w:val="0"/>
      <w:divBdr>
        <w:top w:val="none" w:sz="0" w:space="0" w:color="auto"/>
        <w:left w:val="none" w:sz="0" w:space="0" w:color="auto"/>
        <w:bottom w:val="none" w:sz="0" w:space="0" w:color="auto"/>
        <w:right w:val="none" w:sz="0" w:space="0" w:color="auto"/>
      </w:divBdr>
    </w:div>
    <w:div w:id="323439383">
      <w:bodyDiv w:val="1"/>
      <w:marLeft w:val="0"/>
      <w:marRight w:val="0"/>
      <w:marTop w:val="0"/>
      <w:marBottom w:val="0"/>
      <w:divBdr>
        <w:top w:val="none" w:sz="0" w:space="0" w:color="auto"/>
        <w:left w:val="none" w:sz="0" w:space="0" w:color="auto"/>
        <w:bottom w:val="none" w:sz="0" w:space="0" w:color="auto"/>
        <w:right w:val="none" w:sz="0" w:space="0" w:color="auto"/>
      </w:divBdr>
    </w:div>
    <w:div w:id="480780249">
      <w:bodyDiv w:val="1"/>
      <w:marLeft w:val="0"/>
      <w:marRight w:val="0"/>
      <w:marTop w:val="0"/>
      <w:marBottom w:val="0"/>
      <w:divBdr>
        <w:top w:val="none" w:sz="0" w:space="0" w:color="auto"/>
        <w:left w:val="none" w:sz="0" w:space="0" w:color="auto"/>
        <w:bottom w:val="none" w:sz="0" w:space="0" w:color="auto"/>
        <w:right w:val="none" w:sz="0" w:space="0" w:color="auto"/>
      </w:divBdr>
    </w:div>
    <w:div w:id="549535092">
      <w:bodyDiv w:val="1"/>
      <w:marLeft w:val="0"/>
      <w:marRight w:val="0"/>
      <w:marTop w:val="0"/>
      <w:marBottom w:val="0"/>
      <w:divBdr>
        <w:top w:val="none" w:sz="0" w:space="0" w:color="auto"/>
        <w:left w:val="none" w:sz="0" w:space="0" w:color="auto"/>
        <w:bottom w:val="none" w:sz="0" w:space="0" w:color="auto"/>
        <w:right w:val="none" w:sz="0" w:space="0" w:color="auto"/>
      </w:divBdr>
    </w:div>
    <w:div w:id="601838318">
      <w:bodyDiv w:val="1"/>
      <w:marLeft w:val="0"/>
      <w:marRight w:val="0"/>
      <w:marTop w:val="0"/>
      <w:marBottom w:val="0"/>
      <w:divBdr>
        <w:top w:val="none" w:sz="0" w:space="0" w:color="auto"/>
        <w:left w:val="none" w:sz="0" w:space="0" w:color="auto"/>
        <w:bottom w:val="none" w:sz="0" w:space="0" w:color="auto"/>
        <w:right w:val="none" w:sz="0" w:space="0" w:color="auto"/>
      </w:divBdr>
    </w:div>
    <w:div w:id="606473003">
      <w:bodyDiv w:val="1"/>
      <w:marLeft w:val="0"/>
      <w:marRight w:val="0"/>
      <w:marTop w:val="0"/>
      <w:marBottom w:val="0"/>
      <w:divBdr>
        <w:top w:val="none" w:sz="0" w:space="0" w:color="auto"/>
        <w:left w:val="none" w:sz="0" w:space="0" w:color="auto"/>
        <w:bottom w:val="none" w:sz="0" w:space="0" w:color="auto"/>
        <w:right w:val="none" w:sz="0" w:space="0" w:color="auto"/>
      </w:divBdr>
    </w:div>
    <w:div w:id="751051756">
      <w:bodyDiv w:val="1"/>
      <w:marLeft w:val="0"/>
      <w:marRight w:val="0"/>
      <w:marTop w:val="0"/>
      <w:marBottom w:val="0"/>
      <w:divBdr>
        <w:top w:val="none" w:sz="0" w:space="0" w:color="auto"/>
        <w:left w:val="none" w:sz="0" w:space="0" w:color="auto"/>
        <w:bottom w:val="none" w:sz="0" w:space="0" w:color="auto"/>
        <w:right w:val="none" w:sz="0" w:space="0" w:color="auto"/>
      </w:divBdr>
    </w:div>
    <w:div w:id="872809983">
      <w:bodyDiv w:val="1"/>
      <w:marLeft w:val="0"/>
      <w:marRight w:val="0"/>
      <w:marTop w:val="0"/>
      <w:marBottom w:val="0"/>
      <w:divBdr>
        <w:top w:val="none" w:sz="0" w:space="0" w:color="auto"/>
        <w:left w:val="none" w:sz="0" w:space="0" w:color="auto"/>
        <w:bottom w:val="none" w:sz="0" w:space="0" w:color="auto"/>
        <w:right w:val="none" w:sz="0" w:space="0" w:color="auto"/>
      </w:divBdr>
    </w:div>
    <w:div w:id="902181549">
      <w:bodyDiv w:val="1"/>
      <w:marLeft w:val="0"/>
      <w:marRight w:val="0"/>
      <w:marTop w:val="0"/>
      <w:marBottom w:val="0"/>
      <w:divBdr>
        <w:top w:val="none" w:sz="0" w:space="0" w:color="auto"/>
        <w:left w:val="none" w:sz="0" w:space="0" w:color="auto"/>
        <w:bottom w:val="none" w:sz="0" w:space="0" w:color="auto"/>
        <w:right w:val="none" w:sz="0" w:space="0" w:color="auto"/>
      </w:divBdr>
    </w:div>
    <w:div w:id="964233356">
      <w:bodyDiv w:val="1"/>
      <w:marLeft w:val="0"/>
      <w:marRight w:val="0"/>
      <w:marTop w:val="0"/>
      <w:marBottom w:val="0"/>
      <w:divBdr>
        <w:top w:val="none" w:sz="0" w:space="0" w:color="auto"/>
        <w:left w:val="none" w:sz="0" w:space="0" w:color="auto"/>
        <w:bottom w:val="none" w:sz="0" w:space="0" w:color="auto"/>
        <w:right w:val="none" w:sz="0" w:space="0" w:color="auto"/>
      </w:divBdr>
    </w:div>
    <w:div w:id="1098410170">
      <w:bodyDiv w:val="1"/>
      <w:marLeft w:val="0"/>
      <w:marRight w:val="0"/>
      <w:marTop w:val="0"/>
      <w:marBottom w:val="0"/>
      <w:divBdr>
        <w:top w:val="none" w:sz="0" w:space="0" w:color="auto"/>
        <w:left w:val="none" w:sz="0" w:space="0" w:color="auto"/>
        <w:bottom w:val="none" w:sz="0" w:space="0" w:color="auto"/>
        <w:right w:val="none" w:sz="0" w:space="0" w:color="auto"/>
      </w:divBdr>
    </w:div>
    <w:div w:id="1249316154">
      <w:bodyDiv w:val="1"/>
      <w:marLeft w:val="0"/>
      <w:marRight w:val="0"/>
      <w:marTop w:val="0"/>
      <w:marBottom w:val="0"/>
      <w:divBdr>
        <w:top w:val="none" w:sz="0" w:space="0" w:color="auto"/>
        <w:left w:val="none" w:sz="0" w:space="0" w:color="auto"/>
        <w:bottom w:val="none" w:sz="0" w:space="0" w:color="auto"/>
        <w:right w:val="none" w:sz="0" w:space="0" w:color="auto"/>
      </w:divBdr>
    </w:div>
    <w:div w:id="1656565001">
      <w:bodyDiv w:val="1"/>
      <w:marLeft w:val="0"/>
      <w:marRight w:val="0"/>
      <w:marTop w:val="0"/>
      <w:marBottom w:val="0"/>
      <w:divBdr>
        <w:top w:val="none" w:sz="0" w:space="0" w:color="auto"/>
        <w:left w:val="none" w:sz="0" w:space="0" w:color="auto"/>
        <w:bottom w:val="none" w:sz="0" w:space="0" w:color="auto"/>
        <w:right w:val="none" w:sz="0" w:space="0" w:color="auto"/>
      </w:divBdr>
    </w:div>
    <w:div w:id="1839340715">
      <w:bodyDiv w:val="1"/>
      <w:marLeft w:val="0"/>
      <w:marRight w:val="0"/>
      <w:marTop w:val="0"/>
      <w:marBottom w:val="0"/>
      <w:divBdr>
        <w:top w:val="none" w:sz="0" w:space="0" w:color="auto"/>
        <w:left w:val="none" w:sz="0" w:space="0" w:color="auto"/>
        <w:bottom w:val="none" w:sz="0" w:space="0" w:color="auto"/>
        <w:right w:val="none" w:sz="0" w:space="0" w:color="auto"/>
      </w:divBdr>
    </w:div>
    <w:div w:id="1940597686">
      <w:bodyDiv w:val="1"/>
      <w:marLeft w:val="0"/>
      <w:marRight w:val="0"/>
      <w:marTop w:val="0"/>
      <w:marBottom w:val="0"/>
      <w:divBdr>
        <w:top w:val="none" w:sz="0" w:space="0" w:color="auto"/>
        <w:left w:val="none" w:sz="0" w:space="0" w:color="auto"/>
        <w:bottom w:val="none" w:sz="0" w:space="0" w:color="auto"/>
        <w:right w:val="none" w:sz="0" w:space="0" w:color="auto"/>
      </w:divBdr>
    </w:div>
    <w:div w:id="20870727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il.unesco.org/adult-learning-and-education-as-tool-contain-pandemics"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929500000000003"/>
          <c:y val="3.4959500000000004E-2"/>
          <c:w val="0.56159199999999998"/>
          <c:h val="0.81925700000000001"/>
        </c:manualLayout>
      </c:layout>
      <c:barChart>
        <c:barDir val="bar"/>
        <c:grouping val="clustered"/>
        <c:varyColors val="0"/>
        <c:ser>
          <c:idx val="0"/>
          <c:order val="0"/>
          <c:tx>
            <c:strRef>
              <c:f>Sheet1!$A$2</c:f>
              <c:strCache>
                <c:ptCount val="1"/>
                <c:pt idx="0">
                  <c:v>Woman</c:v>
                </c:pt>
              </c:strCache>
            </c:strRef>
          </c:tx>
          <c:spPr>
            <a:solidFill>
              <a:srgbClr val="993366"/>
            </a:solidFill>
            <a:ln w="12700" cap="flat">
              <a:solidFill>
                <a:srgbClr val="000000"/>
              </a:solidFill>
              <a:prstDash val="solid"/>
              <a:round/>
            </a:ln>
            <a:effectLst/>
          </c:spPr>
          <c:invertIfNegative val="0"/>
          <c:dLbls>
            <c:numFmt formatCode="0.0" sourceLinked="0"/>
            <c:spPr>
              <a:noFill/>
              <a:ln>
                <a:noFill/>
              </a:ln>
              <a:effectLst/>
            </c:spPr>
            <c:txPr>
              <a:bodyPr/>
              <a:lstStyle/>
              <a:p>
                <a:pPr>
                  <a:defRPr sz="475" b="0" i="0" u="none" strike="noStrike">
                    <a:solidFill>
                      <a:srgbClr val="000000"/>
                    </a:solidFill>
                    <a:latin typeface="Arial Greek"/>
                  </a:defRPr>
                </a:pPr>
                <a:endParaRPr lang="el-G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Sheet1!$B$1:$G$1</c:f>
              <c:strCache>
                <c:ptCount val="6"/>
                <c:pt idx="0">
                  <c:v>Have a PC at home</c:v>
                </c:pt>
                <c:pt idx="1">
                  <c:v>Have an Internet connection at home</c:v>
                </c:pt>
                <c:pt idx="2">
                  <c:v>Have their own e-mail account</c:v>
                </c:pt>
                <c:pt idx="3">
                  <c:v>Use ICT frequently for personal purposes</c:v>
                </c:pt>
                <c:pt idx="4">
                  <c:v>Use ICT to support traditional instruction</c:v>
                </c:pt>
                <c:pt idx="5">
                  <c:v>Use ICT as a learning tool</c:v>
                </c:pt>
              </c:strCache>
            </c:strRef>
          </c:cat>
          <c:val>
            <c:numRef>
              <c:f>Sheet1!$B$2:$G$2</c:f>
              <c:numCache>
                <c:formatCode>General</c:formatCode>
                <c:ptCount val="6"/>
                <c:pt idx="0">
                  <c:v>57.44</c:v>
                </c:pt>
                <c:pt idx="1">
                  <c:v>30.4</c:v>
                </c:pt>
                <c:pt idx="2">
                  <c:v>20.16</c:v>
                </c:pt>
                <c:pt idx="3">
                  <c:v>16.64</c:v>
                </c:pt>
                <c:pt idx="4">
                  <c:v>8.32</c:v>
                </c:pt>
                <c:pt idx="5">
                  <c:v>0.96000000000000041</c:v>
                </c:pt>
              </c:numCache>
            </c:numRef>
          </c:val>
          <c:extLst>
            <c:ext xmlns:c16="http://schemas.microsoft.com/office/drawing/2014/chart" uri="{C3380CC4-5D6E-409C-BE32-E72D297353CC}">
              <c16:uniqueId val="{00000000-C891-475F-876D-4A191A126F4C}"/>
            </c:ext>
          </c:extLst>
        </c:ser>
        <c:ser>
          <c:idx val="1"/>
          <c:order val="1"/>
          <c:tx>
            <c:strRef>
              <c:f>Sheet1!$A$3</c:f>
              <c:strCache>
                <c:ptCount val="1"/>
                <c:pt idx="0">
                  <c:v>Man</c:v>
                </c:pt>
              </c:strCache>
            </c:strRef>
          </c:tx>
          <c:spPr>
            <a:solidFill>
              <a:srgbClr val="CCFFFF"/>
            </a:solidFill>
            <a:ln w="12700" cap="flat">
              <a:solidFill>
                <a:srgbClr val="000000"/>
              </a:solidFill>
              <a:prstDash val="solid"/>
              <a:round/>
            </a:ln>
            <a:effectLst/>
          </c:spPr>
          <c:invertIfNegative val="0"/>
          <c:dLbls>
            <c:numFmt formatCode="0.0" sourceLinked="0"/>
            <c:spPr>
              <a:noFill/>
              <a:ln>
                <a:noFill/>
              </a:ln>
              <a:effectLst/>
            </c:spPr>
            <c:txPr>
              <a:bodyPr/>
              <a:lstStyle/>
              <a:p>
                <a:pPr>
                  <a:defRPr sz="475" b="0" i="0" u="none" strike="noStrike">
                    <a:solidFill>
                      <a:srgbClr val="000000"/>
                    </a:solidFill>
                    <a:latin typeface="Arial Greek"/>
                  </a:defRPr>
                </a:pPr>
                <a:endParaRPr lang="el-G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Sheet1!$B$1:$G$1</c:f>
              <c:strCache>
                <c:ptCount val="6"/>
                <c:pt idx="0">
                  <c:v>Have a PC at home</c:v>
                </c:pt>
                <c:pt idx="1">
                  <c:v>Have an Internet connection at home</c:v>
                </c:pt>
                <c:pt idx="2">
                  <c:v>Have their own e-mail account</c:v>
                </c:pt>
                <c:pt idx="3">
                  <c:v>Use ICT frequently for personal purposes</c:v>
                </c:pt>
                <c:pt idx="4">
                  <c:v>Use ICT to support traditional instruction</c:v>
                </c:pt>
                <c:pt idx="5">
                  <c:v>Use ICT as a learning tool</c:v>
                </c:pt>
              </c:strCache>
            </c:strRef>
          </c:cat>
          <c:val>
            <c:numRef>
              <c:f>Sheet1!$B$3:$G$3</c:f>
              <c:numCache>
                <c:formatCode>General</c:formatCode>
                <c:ptCount val="6"/>
                <c:pt idx="0">
                  <c:v>60.37</c:v>
                </c:pt>
                <c:pt idx="1">
                  <c:v>34.630000000000003</c:v>
                </c:pt>
                <c:pt idx="2">
                  <c:v>29.630000000000013</c:v>
                </c:pt>
                <c:pt idx="3">
                  <c:v>30.37</c:v>
                </c:pt>
                <c:pt idx="4">
                  <c:v>14.44</c:v>
                </c:pt>
                <c:pt idx="5">
                  <c:v>2.59</c:v>
                </c:pt>
              </c:numCache>
            </c:numRef>
          </c:val>
          <c:extLst>
            <c:ext xmlns:c16="http://schemas.microsoft.com/office/drawing/2014/chart" uri="{C3380CC4-5D6E-409C-BE32-E72D297353CC}">
              <c16:uniqueId val="{00000001-C891-475F-876D-4A191A126F4C}"/>
            </c:ext>
          </c:extLst>
        </c:ser>
        <c:dLbls>
          <c:showLegendKey val="0"/>
          <c:showVal val="0"/>
          <c:showCatName val="0"/>
          <c:showSerName val="0"/>
          <c:showPercent val="0"/>
          <c:showBubbleSize val="0"/>
        </c:dLbls>
        <c:gapWidth val="150"/>
        <c:axId val="118069120"/>
        <c:axId val="141996416"/>
      </c:barChart>
      <c:catAx>
        <c:axId val="118069120"/>
        <c:scaling>
          <c:orientation val="maxMin"/>
        </c:scaling>
        <c:delete val="0"/>
        <c:axPos val="l"/>
        <c:numFmt formatCode="General" sourceLinked="0"/>
        <c:majorTickMark val="none"/>
        <c:minorTickMark val="none"/>
        <c:tickLblPos val="nextTo"/>
        <c:spPr>
          <a:ln w="12700" cap="flat">
            <a:solidFill>
              <a:srgbClr val="808080"/>
            </a:solidFill>
            <a:prstDash val="solid"/>
            <a:round/>
          </a:ln>
        </c:spPr>
        <c:txPr>
          <a:bodyPr rot="0"/>
          <a:lstStyle/>
          <a:p>
            <a:pPr>
              <a:defRPr sz="475" b="0" i="0" u="none" strike="noStrike">
                <a:solidFill>
                  <a:srgbClr val="000000"/>
                </a:solidFill>
                <a:latin typeface="Arial Greek"/>
              </a:defRPr>
            </a:pPr>
            <a:endParaRPr lang="el-GR"/>
          </a:p>
        </c:txPr>
        <c:crossAx val="141996416"/>
        <c:crosses val="autoZero"/>
        <c:auto val="1"/>
        <c:lblAlgn val="ctr"/>
        <c:lblOffset val="100"/>
        <c:noMultiLvlLbl val="1"/>
      </c:catAx>
      <c:valAx>
        <c:axId val="141996416"/>
        <c:scaling>
          <c:orientation val="minMax"/>
        </c:scaling>
        <c:delete val="0"/>
        <c:axPos val="t"/>
        <c:title>
          <c:tx>
            <c:rich>
              <a:bodyPr rot="0"/>
              <a:lstStyle/>
              <a:p>
                <a:pPr>
                  <a:defRPr sz="800" b="1" i="0" u="none" strike="noStrike">
                    <a:solidFill>
                      <a:srgbClr val="000000"/>
                    </a:solidFill>
                    <a:latin typeface="Arial Greek"/>
                  </a:defRPr>
                </a:pPr>
                <a:r>
                  <a:rPr lang="en-US" sz="800" b="1" i="0" u="none" strike="noStrike">
                    <a:solidFill>
                      <a:srgbClr val="000000"/>
                    </a:solidFill>
                    <a:latin typeface="Arial Greek"/>
                  </a:rPr>
                  <a:t>Percentage (%)</a:t>
                </a:r>
              </a:p>
            </c:rich>
          </c:tx>
          <c:overlay val="1"/>
        </c:title>
        <c:numFmt formatCode="0.##" sourceLinked="0"/>
        <c:majorTickMark val="out"/>
        <c:minorTickMark val="none"/>
        <c:tickLblPos val="high"/>
        <c:spPr>
          <a:ln w="12700" cap="flat">
            <a:solidFill>
              <a:srgbClr val="808080"/>
            </a:solidFill>
            <a:prstDash val="solid"/>
            <a:round/>
          </a:ln>
        </c:spPr>
        <c:txPr>
          <a:bodyPr rot="0"/>
          <a:lstStyle/>
          <a:p>
            <a:pPr>
              <a:defRPr sz="575" b="0" i="0" u="none" strike="noStrike">
                <a:solidFill>
                  <a:srgbClr val="000000"/>
                </a:solidFill>
                <a:latin typeface="Arial Greek"/>
              </a:defRPr>
            </a:pPr>
            <a:endParaRPr lang="el-GR"/>
          </a:p>
        </c:txPr>
        <c:crossAx val="118069120"/>
        <c:crosses val="autoZero"/>
        <c:crossBetween val="between"/>
        <c:majorUnit val="17.5"/>
        <c:minorUnit val="8.75"/>
      </c:valAx>
      <c:spPr>
        <a:solidFill>
          <a:srgbClr val="FFFFFF"/>
        </a:solidFill>
        <a:ln w="12700" cap="flat">
          <a:solidFill>
            <a:srgbClr val="808080"/>
          </a:solidFill>
          <a:prstDash val="solid"/>
          <a:round/>
        </a:ln>
        <a:effectLst/>
      </c:spPr>
    </c:plotArea>
    <c:legend>
      <c:legendPos val="r"/>
      <c:layout>
        <c:manualLayout>
          <c:xMode val="edge"/>
          <c:yMode val="edge"/>
          <c:x val="0.903007"/>
          <c:y val="0.38837300000000036"/>
          <c:w val="9.6993500000000024E-2"/>
          <c:h val="0.10074600000000006"/>
        </c:manualLayout>
      </c:layout>
      <c:overlay val="1"/>
      <c:spPr>
        <a:solidFill>
          <a:srgbClr val="FFFFFF"/>
        </a:solidFill>
        <a:ln w="12700" cap="flat">
          <a:solidFill>
            <a:srgbClr val="000000"/>
          </a:solidFill>
          <a:prstDash val="solid"/>
          <a:round/>
        </a:ln>
        <a:effectLst/>
      </c:spPr>
      <c:txPr>
        <a:bodyPr rot="0"/>
        <a:lstStyle/>
        <a:p>
          <a:pPr>
            <a:defRPr sz="475" b="0" i="0" u="none" strike="noStrike">
              <a:solidFill>
                <a:srgbClr val="000000"/>
              </a:solidFill>
              <a:latin typeface="Arial Greek"/>
            </a:defRPr>
          </a:pPr>
          <a:endParaRPr lang="el-GR"/>
        </a:p>
      </c:txPr>
    </c:legend>
    <c:plotVisOnly val="1"/>
    <c:dispBlanksAs val="gap"/>
    <c:showDLblsOverMax val="0"/>
  </c:chart>
  <c:spPr>
    <a:solidFill>
      <a:srgbClr val="FFFFFF"/>
    </a:solidFill>
    <a:ln w="12700" cap="flat">
      <a:solidFill>
        <a:srgbClr val="000000"/>
      </a:solidFill>
      <a:prstDash val="solid"/>
      <a:round/>
    </a:ln>
    <a:effectLst/>
  </c:spPr>
  <c:externalData r:id="rId1">
    <c:autoUpdate val="0"/>
  </c:externalData>
</c:chartSpace>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BA38C-8AEB-43DD-AF19-2A8DEEE55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707</Words>
  <Characters>3818</Characters>
  <Application>Microsoft Office Word</Application>
  <DocSecurity>0</DocSecurity>
  <Lines>31</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Διευθυντής ΔΔΕ</dc:creator>
  <cp:lastModifiedBy>S K</cp:lastModifiedBy>
  <cp:revision>2</cp:revision>
  <dcterms:created xsi:type="dcterms:W3CDTF">2026-10-31T08:29:00Z</dcterms:created>
  <dcterms:modified xsi:type="dcterms:W3CDTF">2026-10-31T08:29:00Z</dcterms:modified>
</cp:coreProperties>
</file>